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53/2016 vom 8. Februar 2016</w:t>
      </w:r>
    </w:p>
    <w:p>
      <w:r>
        <w:t>Bundesgericht, 2016-02-08, DE</w:t>
      </w:r>
    </w:p>
    <w:p>
      <w:r>
        <w:rPr>
          <w:b/>
        </w:rPr>
        <w:t xml:space="preserve">Quelle: </w:t>
      </w:r>
      <w:r>
        <w:t>https://mcp.opencaselaw.ch/entscheid/bger_1C_53_2016</w:t>
      </w:r>
    </w:p>
    <w:p>
      <w:r>
        <w:t>FR: TF 1C 53/2016 du 8 février 2016</w:t>
      </w:r>
    </w:p>
    <w:p>
      <w:r>
        <w:t>IT: TF 1C 53/2016 del 8 febbraio 2016</w:t>
      </w:r>
    </w:p>
    <w:p>
      <w:pPr>
        <w:pStyle w:val="Heading2"/>
      </w:pPr>
      <w:r>
        <w:t>Regeste</w:t>
      </w:r>
    </w:p>
    <w:p>
      <w:r>
        <w:t>Auslieferung an Russland | Rechtshilfe und Auslieferung</w:t>
      </w:r>
    </w:p>
    <w:p>
      <w:pPr>
        <w:pStyle w:val="Heading2"/>
      </w:pPr>
      <w:r>
        <w:t>Erwägungen</w:t>
      </w:r>
    </w:p>
    <w:p>
      <w:r>
        <w:rPr>
          <w:b/>
        </w:rPr>
        <w:t>E. 1.1</w:t>
      </w:r>
    </w:p>
    <w:p>
      <w:r>
        <w:t>Der Beschwerdeführer muss, wenn das nicht offensichtlich ist, darlegen, weshalb die Eintretensvoraussetzungen erfüllt sind. Er muss insbesondere darlegen, inwiefern ein anfechtbarer Entscheid nach Art. 90 ff. BGG vorliegen soll. Andernfalls genügt er seiner Begründungspflicht ( Art. 42 Abs. 2 BGG ) nicht und kann auf die Beschwerde nicht eingetreten werden ( BGE 137 III 324 E. 1.1 S. 329; 134 II 120 E. 1 S. 121; Urteile 1C_300/2014 vom 17. Juni 2014 E. 1.2; 1B_180/2015 vom 2. Dezember 2015 E. 1.1; mit Hinweisen).</w:t>
      </w:r>
    </w:p>
    <w:p>
      <w:r>
        <w:rPr>
          <w:b/>
        </w:rPr>
        <w:t>E. 1.2</w:t>
      </w:r>
    </w:p>
    <w:p>
      <w:r>
        <w:t>Der Beschwerdeführer äussert sich nicht dazu, weshalb der vorinstanzliche Entscheid gemäss Art. 90 ff. BGG anfechtbar sein soll. Das ist auch nicht offensichtlich. Im Gegenteil ist davon auszugehen, dass es an der Anfechtbarkeit fehlt. Der vorinstanzliche Entscheid weist die Angelegenheit zur weiteren Sachverhaltsabklärung an den Beschwerdeführer zurück. Er schliesst das Auslieferungsverfahren somit nicht ab. Es handelt sich um einen Zwischenentscheid. Dieser betrifft weder die Zuständigkeit noch den Ausstand. Er stellt einen "anderen Zwischenentscheid" dar. Gemäss Art. 93 BGG ist dagegen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 (Abs. 1). Auf dem Gebiet der internationalen Rechtshilfe in Strafsachen sind Zwischenentscheide nicht anfechtbar. Vorbehalten bleiben Beschwerden gegen Entscheide über die Auslieferungshaft sowie über die Beschlagnahme von Vermögenswerten und Wertgegenständen, sofern die Voraussetzungen von Absatz 1 erfüllt sind (Abs. 2). Der Beschwerdegegner ist gegen Leistung einer Kaution aus der Auslieferungshaft entlassen worden. Letztere ist somit nicht mehr streitig. Erst recht betrifft der vorinstanzliche Entscheid keine Beschlagnahme von Vermögenswerten und Wertgegenständen. Gemäss Art. 93 Abs. 2 BGG ist er deshalb nicht anfechtbar.</w:t>
      </w:r>
    </w:p>
    <w:p>
      <w:r>
        <w:rPr>
          <w:b/>
        </w:rPr>
        <w:t>E. 1.3</w:t>
      </w:r>
    </w:p>
    <w:p>
      <w:r>
        <w:t>Auf die Beschwerde kann daher nicht eingetreten werden. Ob ein besonders bedeutender Fall gemäss Art. 84 BGG hätte angenommen werden können, kann dahingestellt bleiben.</w:t>
      </w:r>
    </w:p>
    <w:p>
      <w:r>
        <w:rPr>
          <w:b/>
        </w:rPr>
        <w:t>E. 2</w:t>
      </w:r>
    </w:p>
    <w:p>
      <w:r>
        <w:t>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