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1C_53/2009 vom 24. Juni 2009</w:t>
      </w:r>
    </w:p>
    <w:p>
      <w:r>
        <w:t>Bundesgericht, 2009-06-24, FR</w:t>
      </w:r>
    </w:p>
    <w:p>
      <w:r>
        <w:rPr>
          <w:b/>
        </w:rPr>
        <w:t xml:space="preserve">Quelle: </w:t>
      </w:r>
      <w:r>
        <w:t>https://mcp.opencaselaw.ch/entscheid/bger_1C_53_2009</w:t>
      </w:r>
    </w:p>
    <w:p>
      <w:r>
        <w:t>FR: TF 1C_53/2009 du 24 juin 2009</w:t>
      </w:r>
    </w:p>
    <w:p>
      <w:r>
        <w:t>IT: TF 1C_53/2009 del 24 giugno 2009</w:t>
      </w:r>
    </w:p>
    <w:p>
      <w:pPr>
        <w:pStyle w:val="Heading2"/>
      </w:pPr>
      <w:r>
        <w:t>Erwägungen</w:t>
      </w:r>
    </w:p>
    <w:p>
      <w:r>
        <w:rPr>
          <w:b/>
        </w:rPr>
        <w:t>E. 1</w:t>
      </w:r>
    </w:p>
    <w:p>
      <w:r>
        <w:t>Dirigé contre une décision finale ( art. 90 LTF ) prise en dernière instance cantonale ( art. 86 al. 1 let . d LTF) dans le domaine du droit public des procédés de réclame perceptibles depuis le domaine public ( art. 82 let. a LTF ), le recours est en principe recevable comme recours en matière de droit public selon les art. 82 ss LTF , aucune des exceptions prévues à l' art. 83 LTF n'étant réalisée. Les recourantes ont pris part à la procédure de recours devant le Tribunal administratif. Elles sont particulièrement touchées par l'arrêt attaqué confirmant les refus d'autorisations sollicitées et les ordres de dépose que la Ville de Genève a rendus à l'encontre de leurs panneaux d'affichage. Elles ont dès lors qualité pour agir au sens de l' art. 89 al. 1 LTF . Les autres conditions de recevabilité sont par ailleurs réunies, si bien qu'il y a lieu d'entrer en matière.</w:t>
      </w:r>
    </w:p>
    <w:p>
      <w:r>
        <w:rPr>
          <w:b/>
        </w:rPr>
        <w:t>E. 2</w:t>
      </w:r>
    </w:p>
    <w:p>
      <w:r>
        <w:t>Les recourantes prétendent que la Ville de Genève aurait fait montre de plus de sévérité dans l'appréciation des demandes d'autorisation de leurs panneaux d'affichage que pour ceux de la société C.________. Elles avancent qu'un nombre significatif de panneaux de la société C.________ s'avéreraient illégaux, sans pour autant que la Ville de Genève entende réellement les remettre en cause. Les recourantes estiment pouvoir être mises au bénéfice du principe de l'égalité dans l'illégalité, au motif que la Ville de Genève persistera vraisemblablement dans sa pratique illégale.</w:t>
      </w:r>
    </w:p>
    <w:p>
      <w:r>
        <w:rPr>
          <w:b/>
        </w:rPr>
        <w:t>E. 2.1</w:t>
      </w:r>
    </w:p>
    <w:p>
      <w:r>
        <w:t>Selon la jurisprudence, le principe de la légalité de l'activité administrative (cf. art. 5 al. 1 Cst. ) prévaut sur celui de l'égalité de traitement (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II 113 consid. 9 p. 121 et les références citées; 115 Ia 81 consid. 2; 90 I 159 consid. 3 p. 167 ss; arrêt 2P.16/2005 du 9 août 2005 consid. 7.1, non publié in ATF 131 II 627 ). Si l'autorité ne s'exprime pas, le Tribunal fédéral présumera qu'elle se conformera au jugement qu'il aura rendu ( ATF 115 Ia 81 consid. 2 p. 83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 ATF 123 II 248 consid. 3c p. 254; 115 Ia 81 consid. 2 p. 83 et les références citées). La jurisprudence a également précisé qu'il était nécessaire que l'autorité n'ait pas respecté la loi, non pas dans un cas isolé, ni même dans plusieurs cas, mais selon une pratique constante ( ATF 127 I 1 consid. 3a p. 2; 126 V 390 consid. 6a p. 392; 115 Ia 81 ). Lorsque toutes ces conditions sont remplies, le citoyen est en droit d'exiger d'être mis au bénéfice de l'illégalité.</w:t>
      </w:r>
    </w:p>
    <w:p>
      <w:r>
        <w:rPr>
          <w:b/>
        </w:rPr>
        <w:t>E. 2.2</w:t>
      </w:r>
    </w:p>
    <w:p>
      <w:r>
        <w:t>Dans l'arrêt attaqué, le Tribunal administratif a d'abord reconnu que les panneaux de la société C.________ situés au 25 rue des Bains, au 44 rue des Maraîchers, au 15 rue de Montchoisy, au 87 rue des Eaux-Vives et à l'angle de la rue des Garages et de la rue du Valais étaient apposés sur ou à proximité d'immeubles protégés comme appartenant à des ensembles du XIXème et début du XXème siècles. La Ville de Genève avait donc adopté une pratique contraire à la loi dans le cas des panneaux précités de la société C.________, en ne requérant pas le préavis de la CMNS pour s'assurer que les édifices en question faisaient partie des ensembles protégés. Les juges cantonaux ont ensuite présumé que la Ville de Genève changerait de pratique: ils ont fondé leur raisonnement sur le fait que celle-ci n'avait pas déclaré qu'elle ne respecterait pas la loi à l'avenir. Le concept directeur d'affichage permettait de surcroît de considérer que la Ville entendait mener une politique rigoureuse en matière d'affichage public. Lors de l'inspection locale, le représentant de la Ville de Genève avait en outre déclaré qu'il sera procédé au contrôle systématique des mille sept cents procédés de réclames sis sur son territoire.</w:t>
      </w:r>
    </w:p>
    <w:p>
      <w:r>
        <w:t>Le Tribunal administratif a enfin décrit la conduite à suivre à l'avenir à l'égard de l'ensemble des panneaux d'affichage sur son territoire. La Ville de Genève est désormais tenue de soumettre les panneaux de la société C.________ précités à la procédure d'autorisation prévue par la LPR, qui prévoit la consultation préalable de la CMNS. Elle devra également adopter systématiquement une pratique conforme à la loi pour l'ensemble des procédés de réclame soumis à son autorité, ce qui implique que même pour des bâtiments ne figurant pas sur le répertoire comportant une liste indicative des ensembles maintenus au sens des art. 89 à 93 LCI, elle devra s'assurer qu'ils ne sont pas protégés et s'ils le sont, solliciter le préavis de la CMNS.</w:t>
      </w:r>
    </w:p>
    <w:p>
      <w:r>
        <w:t>L'arrêt cantonal a ainsi mis clairement fin à une pratique jugée non conforme à la loi, et tout laisse à penser qu'à l'avenir la Ville de Genève adoptera une pratique cohérente et conforme à la loi. Dans ses observations devant le Tribunal de céans, la Ville de Genève a en effet clairement affirmé "avec vigueur sa ferme détermination de respecter le principe de l'égalité de traitement et l'ensemble des règles qui en découlent". A l'appui de ses déclarations, elle a produit deux courriers adressés à la CMNS postérieurement à l'arrêt attaqué, par lesquels elle soumet à cette commission cantonale, d'une part les six cas ayant fait l'objet de comparaisons avec les panneaux litigieux et, d'autre part plusieurs dossiers qui, après examen des considérants du Tribunal administratif, auraient pu ou dû également être soumis à préavis.</w:t>
      </w:r>
    </w:p>
    <w:p>
      <w:r>
        <w:t>Face à la détermination de la Ville de Genève de modifier sa pratique, les griefs des recourantes perdent de leur pertinence. Dans ces circonstances en effet, les sociétés ne sauraient se prévaloir du fait que la Ville de Genève aurait contesté avoir une pratique favorisant la société C.________ au détriment des recourantes, même dans les écritures produites postérieurement à l'inspection locale. Il en va de même du fait que le chef du service compétent de la Ville de Genève aurait affirmé qu'il ne serait pas procédé d'office à la notification d'ordres d'enlèvement pour les panneaux qui ne seraient pas conformes. Le processus de régularisation de la pratique de la Ville de Genève étant en cours, les recourantes ne peuvent pas non plus prétendre que les panneaux de la société C.________ pris en comparaison figureraient en tant qu'objets destinés à être maintenus dans le concept directeur d'affichage. Enfin, il ne peut être fait grief à la Ville de Genève de n'avoir donné aucune explication au sujet des mesures qu'elle viendrait à adopter à l'avenir pour réexaminer les panneaux de la société C.________ à proximité de bâtiments protégés: les recourantes ont elles-mêmes relevé que la marche à suivre avait été clairement décrite dans l'arrêt attaqué.</w:t>
      </w:r>
    </w:p>
    <w:p>
      <w:r>
        <w:t>En définitive, face à la reconnaissance explicite de l'illégalité de la pratique antérieure et face à la détermination clairement annoncée de la Ville de Genève de se conformer désormais à la loi, le principe de l'égalité doit céder le pas au principe de la légalité et il ne saurait y avoir de droit à l'égalité dans l'illégalité.</w:t>
      </w:r>
    </w:p>
    <w:p>
      <w:r>
        <w:t>Pour les mêmes motifs, les recourantes ne peuvent pas non plus demander que l'exécution de l'ordre de dépose n'intervienne que le jour où les panneaux comparables de la société C.________ seront également déposés. Il y a cependant lieu de relever que, lors de l'inspection locale du 23 juin 2008 ainsi que dans ses observations au Tribunal de céans, la Ville de Genève a formellement déclaré que la dépose n'interviendrait qu'"après la dernière préréservation de l'emplacement", afin de tenir compte des engagements contractuels conclus avant la notification des décisions querellées.</w:t>
      </w:r>
    </w:p>
    <w:p>
      <w:r>
        <w:rPr>
          <w:b/>
        </w:rPr>
        <w:t>E. 3</w:t>
      </w:r>
    </w:p>
    <w:p>
      <w:r>
        <w:t>Les recourantes font également valoir une violation du principe de l'égalité de traitement entre concurrents au sens de l' art. 27 Cst. Ce grief est devenu sans objet, dans la mesure où la Ville de Genève a clairement manifesté son intention de ne plus tolérer d'inégalité de traitement dans la pose de panneaux publicitaires et de suivre la procédure d'autorisation prévue par la LPR pour la société C.________ également.</w:t>
      </w:r>
    </w:p>
    <w:p>
      <w:r>
        <w:rPr>
          <w:b/>
        </w:rPr>
        <w:t>E. 4</w:t>
      </w:r>
    </w:p>
    <w:p>
      <w:r>
        <w:t>Il s'ensuit que le recours doit être rejeté. Les recourantes, qui succombent, doivent supporter les frais judiciaires ( art. 65 et 66 LTF ). La Ville de Genève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