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538/2014 vom 9. Juni 2015</w:t>
      </w:r>
    </w:p>
    <w:p>
      <w:r>
        <w:t>Bundesgericht, 2015-06-09, DE</w:t>
      </w:r>
    </w:p>
    <w:p>
      <w:r>
        <w:rPr>
          <w:b/>
        </w:rPr>
        <w:t xml:space="preserve">Quelle: </w:t>
      </w:r>
      <w:r>
        <w:t>https://mcp.opencaselaw.ch/entscheid/bger_1C_538_2014</w:t>
      </w:r>
    </w:p>
    <w:p>
      <w:r>
        <w:t>FR: TF 1C 538/2014 du 9 juin 2015</w:t>
      </w:r>
    </w:p>
    <w:p>
      <w:r>
        <w:t>IT: TF 1C 538/2014 del 9 giugno 2015</w:t>
      </w:r>
    </w:p>
    <w:p>
      <w:pPr>
        <w:pStyle w:val="Heading2"/>
      </w:pPr>
      <w:r>
        <w:t>Regeste</w:t>
      </w:r>
    </w:p>
    <w:p>
      <w:r>
        <w:t>Verkehrswiderhandlung im Ausland, Dauer des schweizerischen Führerausweisentzugs | Strassenbau und Strassenverkehr</w:t>
      </w:r>
    </w:p>
    <w:p>
      <w:pPr>
        <w:pStyle w:val="Heading2"/>
      </w:pPr>
      <w:r>
        <w:t>Erwägungen</w:t>
      </w:r>
    </w:p>
    <w:p>
      <w:r>
        <w:rPr>
          <w:b/>
        </w:rPr>
        <w:t>E. 1.1</w:t>
      </w:r>
    </w:p>
    <w:p>
      <w:r>
        <w:t>Gegen den angefochtenen Entscheid ist gemäss Art. 82 lit. a BGG die Beschwerde in öffentlich-rechtlichen Angelegenheiten gegeben. Ein Ausschlussgrund nach Art. 83 BGG besteht nicht. Ein kantonales Rechtsmittel steht nicht zur Verfügung. Die Beschwerde ist somit gemäss Art. 86 Abs. 1 lit. d und Abs. 2 BGG zulässig. Der Beschwerdeführer hat am Verfahren vor der Vorinstanz teilgenommen. Er ist durch den angefochtenen Entscheid besonders berührt und hat ein schutzwürdiges Interesse an dessen Aufhebung oder Änderung. Er ist daher nach Art. 89 Abs. 1 BGG zur Beschwerde befugt. Da auch die übrigen Sachurteilsvoraussetzungen erfüllt sind, kann auf die Beschwerde - unter Vorbehalt der folgenden Erwägung - eingetreten werden.</w:t>
      </w:r>
    </w:p>
    <w:p>
      <w:r>
        <w:rPr>
          <w:b/>
        </w:rPr>
        <w:t>E. 1.2</w:t>
      </w:r>
    </w:p>
    <w:p>
      <w:r>
        <w:t>Aufgrund des Devolutiveffekts ist der vorinstanzliche Entscheid an die Stelle der Verfügung des Strassenverkehrsamts getreten. Anfechtungsobjekt ist allein der vorinstanzliche Entscheid. Soweit sich der Beschwerdeführer gegen die Verfügung des Strassenverkehrsamts richtet, kann darauf nicht eingetreten werden (vgl. BGE 139 II 404 E. 2.5 S. 415; Urteil 1A.12/2004 vom 30. September 2004 E. 1.3, in: ZBl 106/2005 S. 43; je mit Hinweisen).</w:t>
      </w:r>
    </w:p>
    <w:p>
      <w:r>
        <w:rPr>
          <w:b/>
        </w:rPr>
        <w:t>E. 2.1</w:t>
      </w:r>
    </w:p>
    <w:p>
      <w:r>
        <w:t>Gemäss Art. 16c bis SVG (SR 741.01) wird nach einer Widerhandlung im Ausland der Führerausweis entzogen, wenn: a. im Ausland ein Fahrverbot verfügt wurde; und b. die Widerhandlung nach den Artikeln 16b und 16c als mittelschwer oder schwer zu qualifizieren ist (Abs. 1). Bei der Festlegung der Entzugsdauer sind die Auswirkungen des ausländischen Fahrverbots auf die betroffene Person angemessen zu berücksichtigen. Die Mindestentzugsdauer darf unterschritten werden. Die Entzugsdauer darf bei Personen, die im Administrativmassnahmenregister (Art. 104b) nicht verzeichnet sind, die am Begehungsort im Ausland verfügte Dauer des Fahrverbots nicht überschreiten (Abs. 2). Diese Bestimmung fügte der Gesetzgeber mit Bundesgesetz vom 20. März 2008, in Kraft seit 1. September 2008, in das Strassenverkehrsgesetz ein; dies im Anschluss an BGE 133 II 331 . Darin hatte das Bundesgericht in Änderung der Rechtsprechung befunden, für einen Warnungsentzug in der Schweiz nach einer Verkehrsregelverletzung im Ausland fehle es an der gesetzlichen Grundlage.</w:t>
      </w:r>
    </w:p>
    <w:p>
      <w:r>
        <w:rPr>
          <w:b/>
        </w:rPr>
        <w:t>E. 2.2</w:t>
      </w:r>
    </w:p>
    <w:p>
      <w:r>
        <w:t>Das Regierungspräsidium Karlsruhe verfügte gegen den Beschwerdeführer ein Fahrverbot. Die diesem vorgeworfenen drei Verkehrsregelverletzungen stellen unstreitig jede für sich eine schwere Widerhandlung gemäss Art. 16c Abs. 1 lit. a SVG dar. Die Voraussetzungen für den Führerausweisentzug nach Art. 16c bis Abs. 1 SVG sind daher erfüllt. Es geht einzig um seine Dauer.</w:t>
      </w:r>
    </w:p>
    <w:p>
      <w:r>
        <w:rPr>
          <w:b/>
        </w:rPr>
        <w:t>E. 2.3</w:t>
      </w:r>
    </w:p>
    <w:p>
      <w:r>
        <w:t>Gemäss Art. 16c bis Abs. 2 SVG sind bei der Festlegung der Entzugsdauer die Auswirkungen des ausländischen Fahrverbots auf die betroffene Person angemessen zu berücksichtigen. Die Mindestentzugsdauer darf unterschritten werden. Diese beiden Sätze waren bereits im bundesrätlichen Entwurf enthalten. Sie bezwecken die Vermeidung einer Doppelbestrafung (Botschaft vom 28. September 2007 zur Änderung des Strassenverkehrsgesetzes, BBl 2007 7622). Begeht eine Person mit schweizerischem Wohnsitz im Ausland ein Strassenverkehrsdelikt, kann der Tatortstaat eine Administrativmassnahme allein mit Wirkung für das eigene Staatsgebiet aussprechen. Den schweizerischen Führerausweis als solchen kann er nicht entziehen ( BGE 128 II 133 E. 4a S. 136 mit Hinweisen). Die Wirkung der im Ausland verfügten Administrativmassnahme ist daher beschränkt. Deshalb sieht Art. 16c bis SVG unter den dort genannten Voraussetzungen den Entzug des schweizerischen Führerausweises durch die hiesige Behörde vor. Das darf jedoch nicht zu einer doppelten Sanktionierung führen. Die im Ausland und in der Schweiz ausgesprochenen Massnahmen müssen in ihrer Gesamtheit schuldangemessen sein ( BGE 128 II 133 E. 3b/bb S. 136 mit Hinweis). Daher sind gemäss Art. 16c bis Abs. 2 Satz 1 SVG bei der Festlegung der Entzugsdauer die Auswirkungen des ausländischen Fahrverbots auf die betroffene Person angemessen zu berücksichtigen. Mit dem Wort "angemessen" trägt das Gesetz dem Umstand Rechnung, dass das ausländische Fahrverbot den Fehlbaren unterschiedlich stark oder gar nicht treffen kann. So gibt es Fahrzeuglenker, die im Tatortstaat oft unterwegs sind, weshalb sie das dortige Fahrverbot erheblich belastet. Umgekehrt gibt es Personen, die praktisch nie im Tatortstaat ein Fahrzeug lenken, weshalb sie das ihnen dort auferlegte Fahrverbot kaum oder überhaupt nicht trifft. Massgeblich sind somit die Umstände des Einzelfalles (Botschaft, a.a.O.). Gegebenenfalls kann sich das Unterschreiten der Mindestentzugsdauer rechtfertigen, was Art. 16c bis Abs. 2 Satz 2 SVG ausdrücklich zulässt. Diese Bestimmung geht als spätere und spezielle Art. 16 Abs. 3 Satz 2 SVG , wonach die Mindestentzugsdauer nicht unterschritten werden darf, vor.</w:t>
      </w:r>
    </w:p>
    <w:p>
      <w:r>
        <w:rPr>
          <w:b/>
        </w:rPr>
        <w:t>E. 2.4</w:t>
      </w:r>
    </w:p>
    <w:p>
      <w:r>
        <w:t>Gemäss Art. 16c bis Abs. 2 Satz 3 SVG darf die Entzugsdauer bei Personen, die im Administrativmassnahmenregister nicht verzeichnet sind, die am Begehungsort im Ausland verfügte Dauer des Fahrverbots nicht überschreiten. Dieser Satz wurde in der parlamentarischen Beratung in das Gesetz eingefügt. Damit wird dem Unrechtsgehalt der Verkehrsregelverletzung am ausländischen Begehungsort Rechnung getragen. Verwiesen wurde auf Art. 7 Abs. 3 StGB , der im Strafrecht bei Auslandtaten eine ähnliche Regelung kennt (AB 2008 N 171 und 282 [Voten Müller]). Art. 16cbis Abs. 2 Satz 3 SVG ist nur anwendbar bei Personen, die im Administrativmassnahmenregister nicht verzeichnet sind, also bei Ersttätern. Bei Rückfalltätern darf die schweizerische Behörde die Dauer des am Begehungsort verfügten Fahrverbots überschreiten. Der Grund hierfür liegt darin, dass die ausländische Behörde von früher in der Schweiz gegen den Fehlbaren verfügten Administrativmassnahmen regelmässig keine Kenntnis hat. Dürfte die schweizerische Behörde die Dauer des am Begehungsort verfügten Fahrverbots nicht überschreiten, könnte sie die bei Rückfalltätern gemäss Art. 16b Abs. 2 und Art. 16c Abs. 2 SVG vorgesehenen Massnahmeschärfungen nicht zur Anwendung bringen, was zu einer unhaltbaren Privilegierung führen würde (AB 2008 S 127 f. [Voten Bieri und Hess], 129 [Votum Leuenberger], 180 [Voten Bieri und Leuenberger]). Bei einem Ersttäter darf die schweizerische Behörde keine strengere Wertung vornehmen als die ausländische (vgl. AB 2008 N 415 [Voten Germanier und Berberat], 416 [Votum Müller]). Dass sie gegebenenfalls nach hiesigen Massstäben ein längeres Fahrverbot als gerechtfertigt angesehen hätte, spielt keine Rolle. Die Dauer des am Begehungsort ausgesprochenen Fahrverbots begrenzt den Ermessensspielraum der schweizerischen Behörde nach oben. Es verhält sich insoweit wie bei Art. 7 Abs. 3 StGB , wonach das Gericht bei den von jener Bestimmung erfassten Auslandtaten die Sanktionen so bestimmt, dass sie insgesamt für den Täter nicht schwerer wiegen als die Sanktionen nach dem Recht des Begehungsortes. Auch damit hat der Gesetzgeber eine obere Begrenzung des Ermessensbereichs festgelegt (Andreas Donatsch/Brigitte Tag, Strafrecht I, 9. Aufl. 2013, S. 51; Peter Popp/Tornike Keshelava, in: Strafrecht I, Basler Kommentar, 3. Aufl. 2013, Vor Art. 3 StGB N. 38 f.).</w:t>
      </w:r>
    </w:p>
    <w:p>
      <w:r>
        <w:rPr>
          <w:b/>
        </w:rPr>
        <w:t>E. 2.5</w:t>
      </w:r>
    </w:p>
    <w:p>
      <w:r>
        <w:t>Der Beschwerdeführer ist im Administrativmassnahmenregister nicht verzeichnet. Das deutsche Fahrverbot wurde vom 4. Juni bis zum 3. August 2014 vollzogen. Der Beschwerdeführer durfte somit während dieser Zeit in Deutschland kein Fahrzeug lenken. Dies berücksichtigte die Vorinstanz als neue Tatsache, was gemäss § 63 Abs. 4 des Verwaltungsrechtspflegegesetzes vom 1. April 1976 des Kantons Zug (BGS 162.1) zulässig war. Wie die Vorinstanz darlegt, ist der Beschwerdeführer in Deutschland regelmässig geschäftlich unterwegs. Das dortige Fahrverbot hat ihn deshalb getroffen. Die Vorinstanz erwägt, dieses hätte damit grundsätzlich eine Verringerung der Dauer des schweizerischen Führerausweisentzugs zur Folge. Sie lehnt eine solche dann aber ab wegen der Schwere der vom Beschwerdeführer begangenen Verkehrsregelverletzungen. Mit seiner rücksichtslosen Fahrweise habe er mehrmals eine grosse abstrakte Gefahr für die übrigen Verkehrsteilnehmer geschaffen. Eine Verringerung des zweimonatigen Ausweisentzugs sei deshalb auch in Anbetracht des Verbots der Doppelbestrafung nicht angezeigt.</w:t>
      </w:r>
    </w:p>
    <w:p>
      <w:r>
        <w:rPr>
          <w:b/>
        </w:rPr>
        <w:t>E. 2.6</w:t>
      </w:r>
    </w:p>
    <w:p>
      <w:r>
        <w:t>Dem kann nicht gefolgt werden. Die Dauer des deutschen Fahrverbots beträgt 2 Monate. Damit ist der Unrechtsgehalt der vom Beschwerdeführer begangenen Verkehrsregelverletzungen abgegolten. Die ihm aufzuerlegende Sanktion darf somit 2 Monate nicht übersteigen. Massgeblich ist insoweit das gesamte Sanktionenpaket (oben E. 2.3). Da das deutsche Fahrverbot den Beschwerdeführer belastet hat, führte ein schweizerischer Führerausweisentzug von 2 Monaten dazu, dass er gesamthaft eine Sanktion zu tragen hätte, die 2 Monate übersteigt. Dies verletzt das Übermassverbot. Die Dauer des schweizerischen Führerausweisentzugs ist so festzusetzen, dass der Beschwerdeführer unter Berücksichtigung der Belastung, die der Vollzug des deutschen Fahrverbots für ihn dargestellt hat, eine Sanktion zu tragen hat, die 2 Monaten entspricht. Zwar ist einzuräumen, dass die Dauer des vom Regierungspräsidium Karlsruhe ausgesprochenen Fahrverbots nach hiesigen Massstäben als zu tief anzusehen wäre. Dies hat nach Art. 16cbis Abs. 2 Satz 3 SVG jedoch ausser Betracht zu bleiben. Danach kommt es auf den Unrechtsgehalt am Begehungsort an. Wenn die ausländischen Behörden eine Verkehrsregelverletzung anders werten und insbesondere Geschwindigkeitsüberschreitungen milder ahnden, haben die schweizerischen Behörden das hinzunehmen. Dass die Auffassung der Vorinstanz nicht richtig sein kann, zeigt auch Folgendes: Wäre der Beschwerdeführer praktisch nie in Deutschland unterwegs gewesen, weshalb ihn der Vollzug des dortigen Fahrverbots nicht getroffen hätte, hätte die Vorinstanz auch nur einen Führerausweisentzug von 2 Monaten aussprechen können. Damit würde in unterschiedlichen Fällen die gleiche Sanktion verhängt, was nicht angeht.</w:t>
      </w:r>
    </w:p>
    <w:p>
      <w:r>
        <w:rPr>
          <w:b/>
        </w:rPr>
        <w:t>E. 2.7</w:t>
      </w:r>
    </w:p>
    <w:p>
      <w:r>
        <w:t>Wie sich aus der Verfügung des Strassenverkehrsamts ergibt, vertrat dieses die Auffassung, dass die Belastung des - damals noch nicht vollzogenen - deutschen Fahrverbots für den Beschwerdeführer zu einer antragsgemässen Reduktion des schweizerischen Führerausweisentzugs auf einen Monat führen müsste. Eine solche Reduktion ist angemessen. Die Rückweisung an das Strassenverkehrsamt zur neuen Festsetzung der Höhe des Führerausweisentzugs erübrigt sich damit und das Bundesgericht kann selber entscheiden ( Art. 107 Abs. 1 BGG ). Die Dauer des Führerausweisentzugs wird auf einen Monat festgesetzt.</w:t>
      </w:r>
    </w:p>
    <w:p>
      <w:r>
        <w:rPr>
          <w:b/>
        </w:rPr>
        <w:t>E. 3</w:t>
      </w:r>
    </w:p>
    <w:p>
      <w:r>
        <w:t>Kosten werden keine erhoben ( Art. 66 Abs. 1 Satz 2 und Abs. 4 BGG ). Der Kanton hat dem Beschwerdeführer für das bundesgerichtliche Verfahren eine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