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1C_536/2020 vom 16. Dezember 2020</w:t>
      </w:r>
    </w:p>
    <w:p>
      <w:r>
        <w:t>Bundesgericht, 2020-12-16, FR</w:t>
      </w:r>
    </w:p>
    <w:p>
      <w:r>
        <w:rPr>
          <w:b/>
        </w:rPr>
        <w:t xml:space="preserve">Quelle: </w:t>
      </w:r>
      <w:r>
        <w:t>https://mcp.opencaselaw.ch/entscheid/bger_1C_536_2020</w:t>
      </w:r>
    </w:p>
    <w:p>
      <w:r>
        <w:t>FR: TF 1C_536/2020 du 16 décembre 2020</w:t>
      </w:r>
    </w:p>
    <w:p>
      <w:r>
        <w:t>IT: TF 1C_536/2020 del 16 dicembre 2020</w:t>
      </w:r>
    </w:p>
    <w:p>
      <w:pPr>
        <w:pStyle w:val="Heading2"/>
      </w:pPr>
      <w:r>
        <w:t>Volltext</w:t>
      </w:r>
    </w:p>
    <w:p>
      <w:r>
        <w:t>Bundesgericht</w:t>
      </w:r>
    </w:p>
    <w:p>
      <w:r>
        <w:t>Tribunal fédéral</w:t>
      </w:r>
    </w:p>
    <w:p>
      <w:r>
        <w:t>Tribunale federale</w:t>
      </w:r>
    </w:p>
    <w:p>
      <w:r>
        <w:t>Tribunal federal</w:t>
      </w:r>
    </w:p>
    <w:p>
      <w:r>
        <w:t>1C_536/2020 &amp; 1C_539/2020</w:t>
      </w:r>
    </w:p>
    <w:p>
      <w:r>
        <w:t>Arrêt du 16 décembre 2020</w:t>
      </w:r>
    </w:p>
    <w:p>
      <w:r>
        <w:t>Ire Cour de droit public</w:t>
      </w:r>
    </w:p>
    <w:p>
      <w:r>
        <w:t>Composition</w:t>
      </w:r>
    </w:p>
    <w:p>
      <w:r>
        <w:t>M. le Juge fédéral Chaix, Président.</w:t>
      </w:r>
    </w:p>
    <w:p>
      <w:r>
        <w:t>Greffier : M. Parmelin.</w:t>
      </w:r>
    </w:p>
    <w:p>
      <w:r>
        <w:t>Participants à la procédure</w:t>
      </w:r>
    </w:p>
    <w:p>
      <w:r>
        <w:t>A.A.________ et B.A.________,</w:t>
      </w:r>
    </w:p>
    <w:p>
      <w:r>
        <w:t>formant l'hoirie de C.A.________,</w:t>
      </w:r>
    </w:p>
    <w:p>
      <w:r>
        <w:t>représentés par Me Jacques Philippoz, avocat,</w:t>
      </w:r>
    </w:p>
    <w:p>
      <w:r>
        <w:t>recourants,</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les arrêts du Tribunal administratif fédéral, Cour I, du 24 août 2020 (A-4474/2019 + A-5833/2019).</w:t>
      </w:r>
    </w:p>
    <w:p>
      <w:r>
        <w:t>Vu :</w:t>
      </w:r>
    </w:p>
    <w:p>
      <w:r>
        <w:t>les décisions d'approbation des plans portant notamment sur la construction d'une ligne à 380 kV entre Chamoson et Chippis rendues par l'Office fédéral de l'énergie les 30 juin 2010 et 19 janvier 2015,</w:t>
      </w:r>
    </w:p>
    <w:p>
      <w:r>
        <w:t>l'arrêt du Tribunal fédéral du 1</w:t>
      </w:r>
    </w:p>
    <w:p>
      <w:r>
        <w:t>er septembre 2017 qui rejette, dans la mesure où ils sont recevables, les recours formés contre cette dernière décision (causes 1C_41/2017 et 1C_42/2017),</w:t>
      </w:r>
    </w:p>
    <w:p>
      <w:r>
        <w:t>la demande de Swissgrid SA du 14 février 2019 tendant à pouvoir entrer en possession anticipée de la parcelle n° 4545 de la Commune de Grône, appartenant aux membres de l'hoirie de C.A.________, A.A.________ et B.A.________, et de l'hoirie de A.B.________, B.B.________, en vue de la construction du pylône n° 146,</w:t>
      </w:r>
    </w:p>
    <w:p>
      <w:r>
        <w:t>la demande similaire déposée le 22 février 2019 visant la parcelle       n° 8177 de la Commune de Chalais, en mains des membres de l'hoirie A.________, aux fins d'y construire le pylône n° 162,</w:t>
      </w:r>
    </w:p>
    <w:p>
      <w:r>
        <w:t>les séances de conciliation tenues les 23 avril et 10 mai 2019,</w:t>
      </w:r>
    </w:p>
    <w:p>
      <w:r>
        <w:t>la décision du 9 juillet 2019 par laquelle le Vice-président de la Commission fédérale d'estimation du 3</w:t>
      </w:r>
    </w:p>
    <w:p>
      <w:r>
        <w:t>e arrondissement autorise Swissgrid SA à prendre possession de façon anticipée des droits expropriés sur la parcelle n° 4545 pour y construire le pylône n</w:t>
      </w:r>
    </w:p>
    <w:p>
      <w:r>
        <w:t>o 146, conformément aux plans approuvés par l'Office fédéral de l'énergie, les droits éventuels des expropriés à une indemnité du fait de l'envoi en possession anticipé étant réservés et seront traités dans le cadre de la procédure d'estimation,</w:t>
      </w:r>
    </w:p>
    <w:p>
      <w:r>
        <w:t>la décision du 9 octobre 2019 par laquelle le Président de la Commission fédérale d'estimation du 3</w:t>
      </w:r>
    </w:p>
    <w:p>
      <w:r>
        <w:t>e arrondissement autorise Swissgrid SA à prendre possession anticipée de la parcelle n° 8177 pour y construire le pylône n° 162, conformément aux plans approuvés définitivement à la suite de la décision du Tribunal fédéral du 1</w:t>
      </w:r>
    </w:p>
    <w:p>
      <w:r>
        <w:t>er septembre 2017, les droits éventuels des expropriés à une indemnité du fait de l'envoi en possession anticipé étant réservés pour être traités dans le cadre d'un dossier d'estimation à ouvrir à la requête de la partie la plus diligente,</w:t>
      </w:r>
    </w:p>
    <w:p>
      <w:r>
        <w:t>les arrêts du Tribunal administratif fédéral du 24 août 2020 qui rejettent, pour autant que recevables, les recours déposés contre ces décisions par A.A.________ et B.A.________,</w:t>
      </w:r>
    </w:p>
    <w:p>
      <w:r>
        <w:t>le recours en matière de droit public, assorti d'une requête d'effet suspensif, déposé le 23 septembre 2020 contre ces arrêts par A.A.________ et B.A.________,</w:t>
      </w:r>
    </w:p>
    <w:p>
      <w:r>
        <w:t>les déterminations de Swissgrid SA du 20 octobre 2020 qui conclut à ce que le recours et la requête d'effet suspensif soient déclarés irrecevables,</w:t>
      </w:r>
    </w:p>
    <w:p>
      <w:r>
        <w:t>les observations des recourants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w:t>
      </w:r>
    </w:p>
    <w:p>
      <w:r>
        <w:t>er janvier 2018, s'étend selon son texte clair non pas seulement aux décisions en matière de droit de l'électricité qui concernent l'approbation des plans des installations électriques à courant fort et à courant faible, comme le soutiennent les recourants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 aux recourants de démontrer que leur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les recourants ne se sont pas exprimés sur cette question dans leur recours,</w:t>
      </w:r>
    </w:p>
    <w:p>
      <w:r>
        <w:t>que, dans leurs observations, ils voient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aux recourants d'indiquer clairement sur quel point la jurisprudence du Tribunal fédéral aurait prétendument mal été appliquée et en quoi cela constituerait une question juridique de principe,</w:t>
      </w:r>
    </w:p>
    <w:p>
      <w:r>
        <w:t>qu'on cherche en vain une telle démonstration dans le cadre de leurs observations,</w:t>
      </w:r>
    </w:p>
    <w:p>
      <w:r>
        <w:t>que, dans la mesure où l'occasion a été donnée aux recourants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produits par les recourants en annexe à leurs recours au Tribunal administratif fédéral des 3 septembre et 4 novembre 2019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les recourants se prévalent pour prétendre être habilités à remettre en cause le tracé de la ligne à très haute tension litigieuse dans la procédure d'expropriation, n'est plus applicable à la suite de la révision partielle de la LIE, entrée en vigueur le 1</w:t>
      </w:r>
    </w:p>
    <w:p>
      <w:r>
        <w:t>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w:t>
      </w:r>
    </w:p>
    <w:p>
      <w:r>
        <w:t>er janvier 2000 par la loi fédérale sur la coordination et la simplification des procédures de décision du 18 juin 1999,</w:t>
      </w:r>
    </w:p>
    <w:p>
      <w:r>
        <w:t>que l'argumentation des recourants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les recourants,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l'affirment les recourants pour justifier une entrée en matière,</w:t>
      </w:r>
    </w:p>
    <w:p>
      <w:r>
        <w:t>qu'en définitive, le recours doit être déclaré irrecevable en application de l' art. 83 let . w LTF, faute pour les recourants d'avoir établi qu'il soulevait une question juridique de principe,</w:t>
      </w:r>
    </w:p>
    <w:p>
      <w:r>
        <w:t>que les recourants qui succombent prendront en charge les frais judiciaires ( art. 65 et 66 al. 1 LTF ) et verseront solidairement à l'intimée une indemnité de dépens ( art. 68 al. 1 LTF ), qui sera fixée en tenant compte du fait qu'elle s'est déterminée sur la requête d'effet suspensif et non sur le fond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des recourants.</w:t>
      </w:r>
    </w:p>
    <w:p>
      <w:r>
        <w:t>3.</w:t>
      </w:r>
    </w:p>
    <w:p>
      <w:r>
        <w:t>Les recourants verseront solidairement un montant de 400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