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1C_535/2010 vom 13. Januar 2011</w:t>
      </w:r>
    </w:p>
    <w:p>
      <w:r>
        <w:t>Bundesgericht, 2011-01-13, DE</w:t>
      </w:r>
    </w:p>
    <w:p>
      <w:r>
        <w:rPr>
          <w:b/>
        </w:rPr>
        <w:t xml:space="preserve">Quelle: </w:t>
      </w:r>
      <w:r>
        <w:t>https://mcp.opencaselaw.ch/entscheid/bger_1C_535_2010</w:t>
      </w:r>
    </w:p>
    <w:p>
      <w:r>
        <w:t>FR: TF 1C_535/2010 du 13 janvier 2011</w:t>
      </w:r>
    </w:p>
    <w:p>
      <w:r>
        <w:t>IT: TF 1C_535/2010 del 13 gennaio 2011</w:t>
      </w:r>
    </w:p>
    <w:p>
      <w:pPr>
        <w:pStyle w:val="Heading2"/>
      </w:pPr>
      <w:r>
        <w:t>Erwägungen</w:t>
      </w:r>
    </w:p>
    <w:p>
      <w:r>
        <w:rPr>
          <w:b/>
        </w:rPr>
        <w:t>E. 1.1</w:t>
      </w:r>
    </w:p>
    <w:p>
      <w:r>
        <w:t>Die Rechtsbegehren des Beschwerdeführers betreffen die Verfügung des BFM. Diese ist durch das Urteil des Bundesverwaltungsgerichts ersetzt worden (Devolutiveffekt) und gilt als inhaltlich mitangefochten ( BGE 134 II 142 E. 1.4 S. 144 mit Hinweis). Die Auslegung der Rechtsbegehren nach Treu und Glauben, insbesondere im Licht der dazu gegebenen Begründung, ergibt indessen, dass sich die Beschwerde auch gegen das vorinstanzliche Urteil richtet (vgl. BGE 123 V 335 E. 1 S. 336 ff. mit Hinweisen; 123 IV 125 E. 1 S. 127; 115 Ia 107 E. 2b S. 109, so auch BGE 130 V 61 unveröffentlichte E. 3.2.1 mit Hinweisen). Bei diesem Urteil handelt es sich um einen Endentscheid des Bundesverwaltungsgerichts ( Art. 86 Abs. 1 lit. a, Art. 90 BGG ), der die Nichtigerklärung einer erleichterten Einbürgerung gestützt auf Art. 27 Abs. 1 des Bundesgesetzes vom 29. September 1952 über Erwerb und Verlust des Schweizer Bürgerrechts (BüG; SR 141.0) betrifft, somit eine öffentlich-rechtliche Angelegenheit im Sinne von Art. 82 lit. a BGG . Die Ausnahme der ordentlichen Einbürgerung gemäss Art. 83 lit. b BGG erstreckt sich nicht auf die Nichtigerklärung der Einbürgerung. Der Beschwerdeführer hat sich am Verfahren vor der Vorinstanz beteiligt und ist beschwerdelegitimiert ( Art. 89 Abs. 1 BGG ). Insoweit als sich die Beschwerde, nach Treu und Glauben ausgelegt, gegen das Urteil des Bundesverwaltungsgerichts richtet, ist darauf im Grundsatz einzutreten.</w:t>
      </w:r>
    </w:p>
    <w:p>
      <w:r>
        <w:rPr>
          <w:b/>
        </w:rPr>
        <w:t>E. 1.2</w:t>
      </w:r>
    </w:p>
    <w:p>
      <w:r>
        <w:t>Nicht einzutreten ist indessen auf die Rüge, das BFM habe das Willkürverbot verletzt, da es nicht nach entlastenden Elementen gesucht habe. Der Beschwerdeführer begründet diese Rüge nicht weiter und kommt damit seiner Begründungsobliegenheit gemäss Art. 42 Abs. 2 und Art. 106 Abs. 2 BGG nicht nach.</w:t>
      </w:r>
    </w:p>
    <w:p>
      <w:r>
        <w:rPr>
          <w:b/>
        </w:rPr>
        <w:t>E. 2.1</w:t>
      </w:r>
    </w:p>
    <w:p>
      <w:r>
        <w:t>Der Beschwerdeführer rügt eine Verletzung von Art. 41 BüG . Er ist der Ansicht, das BFM habe die in Abs. 1 dieser Bestimmung vorgesehene Frist von fünf Jahren nicht eingehalten. Bei der Erteilung des Bürgerrechts handle es sich um einen rechtsgestaltenden Akt. Deshalb habe die Frist für die Nichtigerklärung am 22. Januar 2003 zu laufen begonnen und am 21. Januar 2008 geendet. Die Verfügung der Nichtigkeit der erleichterten Einbürgerung durch das BFM vom 22. Januar 2008 sei zu spät erfolgt. Dies ergebe auch eine analoge Anwendung von Art. 47 Abs. 3 lit. b AuG (SR 142.20).</w:t>
      </w:r>
    </w:p>
    <w:p>
      <w:r>
        <w:rPr>
          <w:b/>
        </w:rPr>
        <w:t>E. 2.2</w:t>
      </w:r>
    </w:p>
    <w:p>
      <w:r>
        <w:t>Nach Art. 20 Abs. 1 VwVG beginnt eine nach Tagen berechnete Frist, die der Mitteilung an die Parteien bedarf, an dem auf ihre Mitteilung folgenden Tag zu laufen. Ob der Fristenlauf durch einen rechtsgestaltenden Akt ausgelöst wird, ist dabei unerheblich. Ist die Frist nach Monaten oder Jahren bestimmt, endet sie nach der Rechtsprechung an dem Tag, der jenem des Beginns des Fristenlaufs entspricht, bei dessen Fehlen am letzten des Monats (Urteil 1C_336/2010 vom 28. September 2010 E. 3.1 mit Hinweisen). Ob Art. 47 Abs. 3 lit. b AuG eine hiervon abweichende Fristberechnung statuiert, braucht nicht untersucht zu werden. Diese Bestimmung ist vorliegend nicht anwendbar.</w:t>
      </w:r>
    </w:p>
    <w:p>
      <w:r>
        <w:t>Die Einbürgerungsverfügung datiert vom 22. Januar 2003 und gelangte gleichentags zur Versendung. In welchem Zeitpunkt sie dem Beschwerdeführer zugegangen ist, ist nicht bekannt. Zu seinen Gunsten ist deshalb davon auszugehen, dass sie ihm tags darauf, am 23. Januar 2003, zuging. Die fünfjährige Verwirkungsfrist nach Art. 41 Abs. 1 BüG begann demnach am nächstfolgenden Tag, dem 24. Januar 2003, zu laufen und endete am 24. Januar 2008. Das BFM verfügte die Nichtigerklärung am 22. Januar 2008. Die Verfügung ging dem damaligen Rechtsvertreter am 23. Januar 2008 zu, mithin noch innert der fünfjährigen Frist gemäss Art. 41 Abs. 1 BüG (vgl. Urteil 1C_336/2010 vom 28. September 2010 E. 3.2 mit Hinweisen). Die Rüge der Verletzung dieser Bestimmung ist deshalb unbegründet.</w:t>
      </w:r>
    </w:p>
    <w:p>
      <w:r>
        <w:rPr>
          <w:b/>
        </w:rPr>
        <w:t>E. 3.1</w:t>
      </w:r>
    </w:p>
    <w:p>
      <w:r>
        <w:t>Der Beschwerdeführer erblickt eine Verletzung des rechtlichen Gehörs im Umstand, dass er gegenüber der Behörde seines Heimatkantons, die nach Art. 41 Abs. 1 BüG die Zustimmung zur Nichtigerklärung erteilt hatte, nie Stellung nehmen konnte.</w:t>
      </w:r>
    </w:p>
    <w:p>
      <w:r>
        <w:rPr>
          <w:b/>
        </w:rPr>
        <w:t>E. 3.2</w:t>
      </w:r>
    </w:p>
    <w:p>
      <w:r>
        <w:t>Aus dem Anspruch auf rechtliches Gehör ( Art. 29 Abs. 2 BV ) ergibt sich das Recht der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135 II 286 E. 5.1 S. 293; 132 II 485 E. 3.2 S. 494 ; 127 I 54 E. 2b S. 56; 117 Ia 262 E. 4b S. 268; je mit Hinweisen).</w:t>
      </w:r>
    </w:p>
    <w:p>
      <w:r>
        <w:t>Die kantonale Zustimmungserkärung nach Art. 41 Abs. 1 BüG ist lediglich eine Voraussetzung für die Nichtigerklärung der Einbürgerung. Im Gegensatz zur Verfügung des Bundesamts kommt ihr keine rechtsgestaltende Wirkung zu. Aus diesem Grund ist sie weder dem von der Nichtigerklärung Betroffenen zu eröffnen, noch ist jener durch die kantonale Behörde vorgängig anzuhören (Urteil 1C_324/2009 vom 16. November 2009 E. 2.2 ). Das rechtliche Gehör wurde deshalb vorliegend nicht verletzt.</w:t>
      </w:r>
    </w:p>
    <w:p>
      <w:r>
        <w:rPr>
          <w:b/>
        </w:rPr>
        <w:t>E. 4.1</w:t>
      </w:r>
    </w:p>
    <w:p>
      <w:r>
        <w:t>Der Beschwerdeführer macht geltend, die Voraussetzungen der Nichtigerklärung der erleichterten Einbürgerung nach Art. 41 Abs. 1 BüG seien nicht erfüllt. Er habe die Einbürgerung nicht erschlichen.</w:t>
      </w:r>
    </w:p>
    <w:p>
      <w:r>
        <w:rPr>
          <w:b/>
        </w:rPr>
        <w:t>E. 4.2</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dem Schweizer Bürger lebt. Das Bundesgericht geht davon aus, dass eine eheliche Gemeinschaft im Sinne von Art. 27 BüG nicht nur das formelle Bestehen einer Ehe, sondern eine tatsächliche Lebensgemeinschaft voraussetzt. Eine solche Gemeinschaft kann nur bejaht werden, wenn der gemeinsame Wille zu einer stabilen ehelichen Gemeinschaft intakt ist.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oder eines Schweizer Bürgers die erleichterte Einbürgerung ermöglichen, um die Einheit des Bürgerrechts der Ehegatten im Hinblick auf ihre gemeinsame Zukunft zu fördern.</w:t>
      </w:r>
    </w:p>
    <w:p>
      <w:r>
        <w:t>Nach Art. 41 Abs. 1 BüG kann die Einbürgerung vom Bundesamt für Migration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164 f. mit Hinweisen).</w:t>
      </w:r>
    </w:p>
    <w:p>
      <w:r>
        <w:rPr>
          <w:b/>
        </w:rPr>
        <w:t>E. 4.3</w:t>
      </w:r>
    </w:p>
    <w:p>
      <w:r>
        <w:t>In verfahrensrechtlicher Hinsicht richtet sich die erleichterte Einbürgerung nach den Bestimmungen des Bundesgesetzes vom 20. Dezember 1968 über das Verwaltungsverfahren (VwVG; SR 172.021). Danach gilt der Untersuchungsgrundsatz, wonach die Behörde den Sachverhalt von Amtes wegen festzustellen hat ( Art. 12 VwVG ). Bei der Nichtigerklärung einer erleichterten Einbürgerung ist deshalb von der Behörde zu untersuchen, ob die Ehe im massgeblichen Zeitpunkt der Gesuchseinreichung und der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Der Betroffene ist bei der Sachverhaltsabklärung mitwirkungspflichtig.</w:t>
      </w:r>
    </w:p>
    <w:p>
      <w:r>
        <w:t>Die tatsächliche Vermutung betrifft die Beweiswürdigung. Da sie keine Umkehrung der Beweislast bewirkt, muss der Betroffene nicht den Beweis des Gegenteils erbringen. Vielmehr genügt der Nachweis von Zweifeln an der Richtigkeit der Indizien und der daraus gezogenen Schlussfolgerung. Die Beweislast dafür, dass eine eheliche Gemeinschaft im Sinne von Art. 27 BüG im massgeblichen Zeitpunkt der Gesuchseinreichung und der Einbürgerung nicht oder nicht mehr besteht, liegt deshalb bei der Verwaltung.</w:t>
      </w:r>
    </w:p>
    <w:p>
      <w:r>
        <w:t>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somit nicht das Gegenteil beweisen. Es genügt, dass er einen oder mehrere Gründe angibt, die es plausibel erscheinen lassen, dass er im Zeitpunkt seiner Erklärung mit dem Schweizer Ehepartner in einer stabilen ehelichen Gemeinschaft lebte und dass er diesbezüglich nicht gelogen hat. Ein solcher Grund kann entweder ein ausserordentliches Ereignis sein, das zum raschen Zerfall des Willens zur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auch weiterhin in einer stabilen ehelichen Gemeinschaft zu leben ( BGE 135 II 161 E. 3 S. 165 f. mit Hinweisen).</w:t>
      </w:r>
    </w:p>
    <w:p>
      <w:r>
        <w:rPr>
          <w:b/>
        </w:rPr>
        <w:t>E. 4.4</w:t>
      </w:r>
    </w:p>
    <w:p>
      <w:r>
        <w:t>Zu prüfen ist, ob der Beschwerdeführer im Zeitpunkt der Einbürgerung einen intakten Ehewillen besass und ob er auf das Fortbestehen einer stabilen ehelichen Gemeinschaft vertrauen durfte. Da der Beschwerdeführer bereits am 18. September 2003 (das heisst knapp acht Monate nach der erleichterten Einbürgerung) aus der ehelichen Wohnung auszog und die Ehegatten am 6. Oktober 2003 ein gemeinsames Scheidungsbegehren einreichten, geht das Bundesverwaltungsgericht richtigerweise von der Vermutung aus, dass dies nicht zutraf.</w:t>
      </w:r>
    </w:p>
    <w:p>
      <w:r>
        <w:rPr>
          <w:b/>
        </w:rPr>
        <w:t>E. 4.5</w:t>
      </w:r>
    </w:p>
    <w:p>
      <w:r>
        <w:t>Der Beschwerdeführer argumentiert im Wesentlichen, die Ehe habe über 13 Jahre gehalten. Auch die Geburt eines ausserehelichen Kindes im Jahre 1999 habe sie nicht erschüttern können. Gegen die Vermutung einer Scheinehe spreche auch, dass er mittellos gewesen sei, weshalb Geld nicht der Anreiz für das Aufrechterhalten der Ehe habe sein können. Auch habe seine Ex-Ehefrau nach der Scheidung ihren Nachnamen beibehalten. Überhaupt seien die familiären Schwierigkeiten während der Ehe aktenkundig gewesen, insbesondere, dass die Ehegatten vorübergehend an unterschiedlichen Orten wohnten. Weshalb das BFM nicht mehr von einer stabilen ehelichen Gemeinschaft ausging, als am 26. Dezember 2003 das zweite Kind geboren wurde, sei unverständlich.</w:t>
      </w:r>
    </w:p>
    <w:p>
      <w:r>
        <w:rPr>
          <w:b/>
        </w:rPr>
        <w:t>E. 4.6</w:t>
      </w:r>
    </w:p>
    <w:p>
      <w:r>
        <w:t>Die Ausführungen des Beschwerdeführers sind nicht geeignet, die Vermutung umzustossen, dass im Zeitpunkt der Einbürgerung keine tatsächlich gelebte Ehe bestand. Weder macht er ein ausserordentliches Ereignis geltend, das zum raschen Zerfall des Willens zur ehelichen Gemeinschaft im Anschluss an die Einbürgerung geführt haben könnte, noch behauptet er, die ehelichen Probleme nicht erkannt zu haben. Dass die aussereheliche Geburt des ersten Kinds nicht zur Scheidung geführt hat, ist nicht entscheidend. Sodann ist der Vorinstanz beizupflichten, wenn sie darlegt, dass die Ereignisse nach der erleichterten Einbürgerung im Rückblick ein anderes Licht auf die Ehejahre werfen. So hat der Beschwerdeführer nach den unwidersprochen gebliebenen Feststellungen im angefochtenen Urteil bereits am 18. September die eheliche Wohnung verlassen und ist direkt zur Kindsmutter gezogen, die bereits am 26. Dezember 2003 das zweite gemeinsame Kind zur Welt brachte. Unter diesen Umständen kann dem BFM nicht vorgeworfen werden, die ehelichen Probleme bereits bei der Einbürgerung gekannt zu haben. Diesbezüglich argumentiert der Beschwerdeführer im Übrigen auch widersprüchlich, beruft er sich ja gerade darauf, dass die Ehe trotz Höhen und Tiefen funktioniert habe.</w:t>
      </w:r>
    </w:p>
    <w:p>
      <w:r>
        <w:t>Die Rüge der Verletzung von Art. 41 Abs. 1 BüG erweist sich demnach als unbegründet.</w:t>
      </w:r>
    </w:p>
    <w:p>
      <w:r>
        <w:rPr>
          <w:b/>
        </w:rPr>
        <w:t>E. 5</w:t>
      </w:r>
    </w:p>
    <w:p>
      <w:r>
        <w:t>Die Beschwerde ist nach dem Gesagten abzuweisen, soweit darauf einzutreten ist. Bei diesem Ausgang trägt der Beschwerdeführer die Gerichtskosten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