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1C_534/2014 vom 29. Januar 2015</w:t>
      </w:r>
    </w:p>
    <w:p>
      <w:r>
        <w:t>Bundesgericht, 2015-01-29, FR</w:t>
      </w:r>
    </w:p>
    <w:p>
      <w:r>
        <w:rPr>
          <w:b/>
        </w:rPr>
        <w:t xml:space="preserve">Quelle: </w:t>
      </w:r>
      <w:r>
        <w:t>https://mcp.opencaselaw.ch/entscheid/bger_1C_534_2014</w:t>
      </w:r>
    </w:p>
    <w:p>
      <w:r>
        <w:t>FR: TF 1C_534/2014 du 29 janvier 2015</w:t>
      </w:r>
    </w:p>
    <w:p>
      <w:r>
        <w:t>IT: TF 1C_534/2014 del 29 gennaio 2015</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Le recourant conteste avoir obtenu la naturalisation par des déclarations mensongères, respectivement par la dissimulation de faits essentiels et expose sa propre version et appréciation des événements. De manière confuse et implicitement, il reproche à l'instance précédente d'avoir établi les faits de manière manifestement inexacte et "d'avoir fait usage de son pouvoir d'appréciation de façon excessive"; sa décision serait ainsi contraire à la loi fédérale du 29 septembre 1952 sur l'acquisition et la perte de la nationalité suisse (LN; RS 141.0).</w:t>
      </w:r>
    </w:p>
    <w:p>
      <w:r>
        <w:rPr>
          <w:b/>
        </w:rPr>
        <w:t>E. 2.1</w:t>
      </w:r>
    </w:p>
    <w:p>
      <w:r>
        <w:t>Le Tribunal fédéral statue sur la base des faits établis par l'autorité précédente ( art. 105 al. 1 LTF ), sous réserve des cas prévus à l' art. 105 al. 2 LTF . Le recourant qui entend invoquer que les faits importants pour le jugement de la cause ont été établis de manière manifestement inexacte ou constatés en violation du droit au sens de l' art. 95 LTF ( art. 97 al. 1 LTF ) doit le démontrer par une argumentation précise répondant aux exigences de motivation de l' art. 42 al. 2 LTF ou de l' art. 106 al. 2 LTF ( ATF 137 I 58 consid. 4.1.2 p. 62).</w:t>
      </w:r>
    </w:p>
    <w:p>
      <w:r>
        <w:t>Les arguments invoqués par le recourant sont essentiellement appellatoires de sorte qu'on peut douter de leur recevabilité. Ce point peut toutefois demeurer indécis, le recours étant, quoi qu'il en soit, mal fondé.</w:t>
      </w:r>
    </w:p>
    <w:p>
      <w:r>
        <w:rPr>
          <w:b/>
        </w:rPr>
        <w:t>E. 2.2</w:t>
      </w:r>
    </w:p>
    <w:p>
      <w:r>
        <w:t>Conformément à l' art. 41 al. 1 LN , l'ODM peut, avec l'assentiment de l'autorité du canton d'origine, annuler la naturalisation ou la réintégration obtenue par des déclarations mensongères ou la dissimulation de faits essentiels.</w:t>
      </w:r>
    </w:p>
    <w:p>
      <w:r>
        <w:rPr>
          <w:b/>
        </w:rPr>
        <w:t>E. 2.2.1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1C_256/2012 du 22 novembre 2012 consid. 3.2.1; 1C_406/2009 du 28 octobre 2009 consid. 3.1.1 et l'arrêt cité).</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w:t>
      </w:r>
    </w:p>
    <w:p>
      <w:r>
        <w:rPr>
          <w:b/>
        </w:rPr>
        <w:t>E. 2.2.2</w:t>
      </w:r>
    </w:p>
    <w:p>
      <w:r>
        <w:t>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2.3</w:t>
      </w:r>
    </w:p>
    <w:p>
      <w:r>
        <w:t>En l'espèce, le Tribunal administratif fédéral a constaté que le mariage a été célébré le 5 juillet 2005, qu'une demande de naturalisation facilitée a été déposée le 10 octobre 2008 et que, le 4 mai 2010, les époux ont signé une déclaration de vie commune. La naturalisation facilitée a été accordée par décision du 26 mai 2010, entrée en force le 27 juin 2010. Le 21 mars 2011, les intéressés ont conjointement manifesté leur volonté de cesser la vie commune aussitôt que possible, par la signature d'une convention de mesures protectrices de l'union conjugale. Les époux vivent séparés depuis le 1</w:t>
      </w:r>
    </w:p>
    <w:p>
      <w:r>
        <w:t>er mai 2011. Face à l'enchaînement chronologique rapide de ces événements, en particulier au bref intervalle de temps écoulé entre l'octroi de la naturalisation et la séparation, le Tribunal administratif fédéral pouvait conformément à la pratique présumer que la communauté conjugale n'était pas stable au moment la déclaration commune et au jour de la décision de naturalisation (cf. notamment arrêts 1C_674/2013 du 12 décembre 2013 consid. 3.3; 1C_172/2012 du 11 mai 2012 consid. 2.2; 1C_472/2011 du 22 décembre 2011 consid. 2.1.3). Cette présomption n'est pas en tant que telle discutée par le recourant. Il s'agit dès lors uniquement de déterminer si ce dernier est parvenu à la renverser.</w:t>
      </w:r>
    </w:p>
    <w:p>
      <w:r>
        <w:rPr>
          <w:b/>
        </w:rPr>
        <w:t>E. 2.4</w:t>
      </w:r>
    </w:p>
    <w:p>
      <w:r>
        <w:t>Le recourant soutient principalement que son épouse souffre de toxicomanie et qu'avant la séparation elle consommait des stupéfiants au domicile conjugal en compagnie de ses fils majeurs. Le recourant affirme que cette toxicomanie constituerait la principale cause de difficultés au sein du couple, mais que les époux seraient parvenus à la surmonter jusqu'à l'arrivée inattendue du fils du recourant.</w:t>
      </w:r>
    </w:p>
    <w:p>
      <w:r>
        <w:t>La toxicomanie de l'épouse n'ayant été ni alléguée précédemment ni retenue par le Tribunal administratif fédéral, elle constitue un fait nouveau irrecevable au sens de l' art. 99 al. 1 LTF . Quoiqu'il en soit, l'argumentation du recourant, largement appellatoire pour le surplus, s'avère impropre à renverser la présomption de fait retenue par l'instance précédente, et ce pour les motifs qui suivent.</w:t>
      </w:r>
    </w:p>
    <w:p>
      <w:r>
        <w:rPr>
          <w:b/>
        </w:rPr>
        <w:t>E. 2.4.1</w:t>
      </w:r>
    </w:p>
    <w:p>
      <w:r>
        <w:t>A teneur du dossier, il ne peut être déterminé avec exactitude quand le fils du recourant est arrivé sur sol suisse ni si son père était préalablement informé de sa venue. Cela étant et même en retenant, à l'instar de l'autorité précédente, la version la plus favorable au recourant, à savoir une arrivée inattendue en décembre 2010, ce dernier événement ne saurait à lui seul expliquer la rupture précipitée du lien conjugal.</w:t>
      </w:r>
    </w:p>
    <w:p>
      <w:r>
        <w:t>Il ressort de la requête de mesures protectrices de l'union conjugale, déposée le 21 février 2011, soit moins de trois mois après l'arrivée du fils du recourant, que le couple connaissait alors, depuis un certain temps déjà, des difficultés à faire ménage commun. Le recourant soutient que les problèmes allégués concernent la toxicomanie de son épouse et de ses fils. Il s'agirait, selon lui, de "la principale cause de difficulté dans le couple". Il affirme que cela "n'empêchait cependant pas la vie de couple, car il y avait tolérance et acceptation des défauts et faiblesses de la part de l'un et de l'autre". Devant l'autorité de céans, le recourant qualifie pourtant ce problème de "tellement grave et complexe qu'il [est] tout à fait compréhensible qu'une situation relationnelle puisse dégénérer assez rapidement". L'intéressé reconnaît ainsi implicitement que l'arrivée de son fils ne constitue pas à elle seule la raison de la dégradation soudaine de l'union, laquelle se trouvait déjà de longue date gangrénée par des difficultés récurrentes. Il ressort en effet de l'arrêt attaqué que la problématique liée à la consommation de stupéfiants par ses beaux-fils, au domicile conjugal, lui était déjà connue en novembre 2008, lors du dépôt de sa première demande de regroupement familial. A cet égard et si, comme le soutient le recourant, la séparation était nécessaire à protéger son fils des méfaits la drogue, force est d'admettre qu'elle l'aurait été dans une même mesure à cette époque déjà, dans l'hypothèse où sa première demande aurait abouti. Le recourant faisait ainsi déjà prévaloir l'intérêt de son fils sur celui de l'union conjugale, avant la procédure de naturalisation.</w:t>
      </w:r>
    </w:p>
    <w:p>
      <w:r>
        <w:t>Dans ces circonstances, on retiendra, avec le Tribunal administratif fédéral, que le problème de drogue mis en relation avec l'arrivée de l'adolescent ne saurait constituer un événement extraordinaire et postérieur à la naturalisation facilitée susceptible d'expliquer à lui seul une détérioration rapide du lien conjugal.</w:t>
      </w:r>
    </w:p>
    <w:p>
      <w:r>
        <w:rPr>
          <w:b/>
        </w:rPr>
        <w:t>E. 2.4.2</w:t>
      </w:r>
    </w:p>
    <w:p>
      <w:r>
        <w:t>D'autres éléments confirmant la présomption fondée sur l'enchaînement des événements ont par ailleurs été retenus par l'instance précédente. Elle a ainsi jugé que la relation adultère entretenue par le recourant était de nature à confirmer la fragilité du lien conjugal. Elle a en outre estimé qu'il incombait au recourant de faire état de l'existence de son enfant adultérin dans le cadre de la procédure de naturalisation, cet événement étant susceptible d'avoir une incidence sur la décision d'octroi. A cet égard, le recourant se borne à répéter que son comportement lui aurait été pardonné lors de la déclaration de vie commune. Il ne discute toutefois pas les motifs de la décision entreprise ni n'indique en quoi l'autorité précédente aurait violé le droit. Il affirme par ailleurs qu'il ne cherchait aucunement à dissimuler un fait essentiel en taisant l'existence de sa fille, laquelle ne pouvait, selon lui, "plus figurer parmi les enfants à inclure dans la procédure de naturalisation". Faute de motivation sur ce point, on ne discerne pas ce qui aurait empêché le recourant d'informer l'ODM de ces éléments, durant la procédure de naturalisation.</w:t>
      </w:r>
    </w:p>
    <w:p>
      <w:r>
        <w:t>Enfin, le Tribunal administratif fédéral a souligné que le mariage avait été célébré alors que le recourant faisait l'objet d'une mesure définitive de renvoi de Suisse, après le refus de sa demande d'asile. Il a considéré que cette situation précaire, couplée à l'importante différence d'âge entre les époux, constituait un indice d'abus. Sans autre forme de motivation et sans que cela ne ressorte du dossier, le recourant se contente à ce propos d'affirmer que la "ferme volonté des deux époux de revivre ensemble" serait toujours intacte.</w:t>
      </w:r>
    </w:p>
    <w:p>
      <w:r>
        <w:rPr>
          <w:b/>
        </w:rPr>
        <w:t>E. 2.4.3</w:t>
      </w:r>
    </w:p>
    <w:p>
      <w:r>
        <w:t>En définitive, les griefs du recourant, à la limite de la recevabilité ( art. 42 al. 2 LTF ; cf. ATF 133 IV 119 consid. 6.3 p. 120 s., 286 consid. 1.4 p. 287), ne permettent pas de renverser la présomption de fait déduite de l'enchaînement chronologique des événements. Dans ces circonstances, le Tribunal administratif fédéral n'a pas apprécié les faits, ressortant du dossier, de façon arbitraire en admettant que l'union formée par les époux ne présentait plus l'intensité et la stabilité requise lors de la signature de la déclaration de vie commune, respectivement au moment de la décision de naturalisation facilitée.</w:t>
      </w:r>
    </w:p>
    <w:p>
      <w:r>
        <w:rPr>
          <w:b/>
        </w:rPr>
        <w:t>E. 3</w:t>
      </w:r>
    </w:p>
    <w:p>
      <w:r>
        <w:t>Sur le vu de ce qui précède, le recours doit être rejeté dans la mesure de sa recevabilité. Le recours au Tribunal fédéral était d'emblée voué à l'échec, de sorte que l'assistance judiciaire requise en relation avec la présente procédure doit être refusée ( art. 64 al. 1 LTF ).</w:t>
      </w:r>
    </w:p>
    <w:p>
      <w:r>
        <w:t>Les frais judiciaires seront donc mis à la charge du recourant ( art. 66 al. 1 LTF ). Ils seront toutefois fixés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