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1C_532/2019 vom 18. Mai 2020</w:t>
      </w:r>
    </w:p>
    <w:p>
      <w:r>
        <w:t>Bundesgericht, 2020-05-18, FR</w:t>
      </w:r>
    </w:p>
    <w:p>
      <w:r>
        <w:rPr>
          <w:b/>
        </w:rPr>
        <w:t xml:space="preserve">Quelle: </w:t>
      </w:r>
      <w:r>
        <w:t>https://mcp.opencaselaw.ch/entscheid/bger_1C_532_2019</w:t>
      </w:r>
    </w:p>
    <w:p>
      <w:r>
        <w:t>FR: TF 1C_532/2019 du 18 mai 2020</w:t>
      </w:r>
    </w:p>
    <w:p>
      <w:r>
        <w:t>IT: TF 1C_532/2019 del 18 maggio 2020</w:t>
      </w:r>
    </w:p>
    <w:p>
      <w:pPr>
        <w:pStyle w:val="Heading2"/>
      </w:pPr>
      <w:r>
        <w:t>Erwägungen</w:t>
      </w:r>
    </w:p>
    <w:p>
      <w:r>
        <w:rPr>
          <w:b/>
        </w:rPr>
        <w:t>E. 1</w:t>
      </w:r>
    </w:p>
    <w:p>
      <w:r>
        <w:t>L'arrêt attaqué confirme l'institution d'une zone réservée sur le territoire communal, en application de l' art. 27 LAT . La jurisprudence y voit un processus de planification ordinaire et considère qu'il s'agit d'une décision finale au sens de l' art. 90 LTF (arrêts 1C_149/2018 du 13 septembre 2018 consid. 1.1; 1C_141/2014 du 4 août 2014 consid. 1.1 avec les références, publié in ZBl 116/2015 s. 194). Le recours est donc en principe recevable comme recours en matière de droit public selon les art. 82 ss LTF , aucune des exceptions prévues à l' art. 83 LTF n'étant réalisée. Le recourant a pris part à la procédure de recours devant la cour cantonale et il est propriétaire de deux parcelles qui se trouvent dorénavant en zone réservée. Il a ainsi un intérêt évident à l'annulation de l'arrêt attaqué et des décisions cantonale et communale prises à ce sujet et dispose dès lors de la qualité pour agir au sens de l' art. 89 al. 1 LTF .</w:t>
      </w:r>
    </w:p>
    <w:p>
      <w:r>
        <w:t>En dépit de sa nature temporaire destinée à préserver une planification future, l'institution d'une zone réservée, à l'issue d'une procédure indépendante de planification, constitue une décision finale et ne peut être assimilée à une mesure provisionnelle. Dès lors, contrairement à ce que soutient le SDT, la limitation des griefs ( art. 98 LTF ) ne s'applique pas ( ATF 105 Ia 223 consid. 2b p. 226; arrêts 1P.304/1994 du 2 février 1995 consid. 1a; 1C_551/2018 du 19 novembre 2019 consid. 1.2; 1C_16/2029 du 18 octobre 2019 consid. 1.2). Il y a donc lieu d'entrer en matière.</w:t>
      </w:r>
    </w:p>
    <w:p>
      <w:r>
        <w:rPr>
          <w:b/>
        </w:rPr>
        <w:t>E. 2</w:t>
      </w:r>
    </w:p>
    <w:p>
      <w:r>
        <w:t>Le recourant relève que ses deux parcelles ne se situent qu'à 400-500 m du centre du village et de ses infrastructures et à quelques centaines de mètres de l'office du tourisme, et jouxtent immédiatement le milieu largement bâti du centre du village, destiné à une densification. Elles répondraient ainsi aux critères posés dans la fiche d'application du SDT puisque le secteur réunit un groupe de 10 habitations permanentes distantes de moins de 50 m. Le principe de la proportionnalité commanderait dès lors que les parcelles soient exclues de la zone réservée.</w:t>
      </w:r>
    </w:p>
    <w:p>
      <w:r>
        <w:rPr>
          <w:b/>
        </w:rPr>
        <w:t>E. 2.1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LATC prévoit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w:t>
      </w:r>
    </w:p>
    <w:p>
      <w:r>
        <w:t>L'établissement d'une zone réservée répond ainsi à un intérêt public lorsqu'il y a lieu de modifier un plan d'aménagement, que celui-ci soit ou non conforme au droit (RUCH, in: Aemisegger/Moor/Ruch/ Tschannen [éd.], Praxis Kommentar RPG, Nutzungsplanung, 2016, n° 31 ad art. 27).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 op. cit., n° 32 ad art. 27). Tel est le cas de l'obligation de réduire les zones à bâtir surdimensionnées prévue à l' art. 15 al. 2 LAT (AEMISEGGER/KISSLING, in: Aemisegger/Moor/Ruch/ Tschannen [éd.], op. cit., n° 40 ad art. 15). La mesure contestée constitue alors la première étape de ce processus obligatoire.</w:t>
      </w:r>
    </w:p>
    <w:p>
      <w:r>
        <w:rPr>
          <w:b/>
        </w:rPr>
        <w:t>E. 2.2</w:t>
      </w:r>
    </w:p>
    <w:p>
      <w:r>
        <w:t>Le recourant se plaint d'arbitraire, mais ce grief n'apparaît pas pertinent dans la mesure où l'instauration d'une zone réservée en vue de redimensionner la zone à bâtir doit s'examiner selon les critères posés par le droit fédéral aux art. 27 et 15 LAT , dispositions que la directive cantonale précitée ne fait qu'appliquer. Le recourant renonce par ailleurs expressément à invoquer la garantie de la propriété en rapport avec son dommage financier, de sorte que le principe de la proportionnalité est également sans pertinence sous cet angle. A supposer invoquée une violation du droit fédéral, le recours devrait être rejeté pour les motifs qui suivent.</w:t>
      </w:r>
    </w:p>
    <w:p>
      <w:r>
        <w:rPr>
          <w:b/>
        </w:rPr>
        <w:t>E. 2.3</w:t>
      </w:r>
    </w:p>
    <w:p>
      <w:r>
        <w:t>Le recourant ne conteste pas que la zone à bâtir de la commune présente un excédent très important, correspondant à 6'400 habitants à l'horizon 2036. La commune a donc l'obligation de réviser sa planification, conformément au plan directeur cantonal et à l' art. 15 al. 2 LAT et l'on se trouve dans une situation où une adaptation de la planification s'impose, au sens de l' art. 27 al. 1 LAT ; au demeurant, l'intention de la commune de satisfaire à cette obligation ressort clairement du rapport 47 OAT. Le travail de redimensionnement concerne notamment l'entier de la zone à bâtir susceptible d'accueillir de l'habitat en dehors du périmètre du territoire urbanisé, ce qui correspond au périmètre A de la zone réservée. Telle qu'elle est définie, la zone en question respecte en soi les exigences de l' art. 27 LAT .</w:t>
      </w:r>
    </w:p>
    <w:p>
      <w:r>
        <w:rPr>
          <w:b/>
        </w:rPr>
        <w:t>E. 2.4</w:t>
      </w:r>
    </w:p>
    <w:p>
      <w:r>
        <w:t>La notion de "terrains déjà largement bâtis" de l'ancien art. 15 let. a LAT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Les constructions agricoles peuvent être exceptionnellement prises en compte (cf. ATF 132 II 218 consid. 4.1 p. 222 s.; 116 Ia 197 consid. 2b p. 201 et les références citées). Selon la jurisprudence prévalant déjà sous l'ancien art. 15 LAT , les zones à bâtir surdimensionnées sont contraires à la LAT et doivent être réduites ( ATF 140 II 25 consid. 4.3 p. 31; 136 II 204 consid. 7 p. 211). Par ailleurs, l'un des buts principaux de la législation fédérale sur l'aménagement du territoire est de concentrer l'habitat dans les zones à bâtir et d'empêcher de construire en ordre dispersé, de sorte que les petites zones à bâtir paraissent en principe non seulement inappropriées, mais également contraires à la loi ( ATF 124 II 391 consid. 3a p. 395; arrêt 1C_612/2018 du 16 octobre 2019 consid 5.1).</w:t>
      </w:r>
    </w:p>
    <w:p>
      <w:r>
        <w:rPr>
          <w:b/>
        </w:rPr>
        <w:t>E. 2.5</w:t>
      </w:r>
    </w:p>
    <w:p>
      <w:r>
        <w:t>En l'occurrence, c'est à tort que le recourant prétend que ses parcelles feraient partie du territoire urbanisé de la commune. Il ressort en effet clairement tant des plans figurant au dossier que des documents produits par le recourant que ses parcelles ne se trouvent ni dans le noyau urbain du village, ni dans le territoire urbanisé qui l'entoure, mais à la limite extérieure de celui-ci, en bordure de la forêt. La proximité alléguée avec le centre du village (plusieurs centaines de mètres) et l'école ou d'autres bâtiments, ne change rien à cette situation excentrée. Le recourant ne saurait se prévaloir des critères de délimitation posés par le SDT dans la fiche d'application relative au territoire urbanisé: le nombre d'habitations et les distances entre constructions se rapportent au noyau urbanisé largement bâti dont les parcelles du recourant ne font assurément pas partie, au contraire des parcelles auxquelles le recourant se réfère en réplique et qui se trouvent comprises dans le tissu bâti. Pour le surplus, le pourtour du territoire urbanisé a été défini de la manière prévue dans la même fiche d'application, en tenant compte des éléments physiques et du découpage parcellaire. Dans ce secteur, la zone réservée a en effet été définie au plus près des parcelles construites; la bande de terrain de la parcelle n° 3185, située entre des parcelles bâties, est d'ailleurs demeurée en zone constructible, mais les deux biens-fonds sont entièrement libres de construction et ne peuvent dès lors être rattachés au milieu densément construit.</w:t>
      </w:r>
    </w:p>
    <w:p>
      <w:r>
        <w:rPr>
          <w:b/>
        </w:rPr>
        <w:t>E. 2.6</w:t>
      </w:r>
    </w:p>
    <w:p>
      <w:r>
        <w:t>En général, une zone réservée satisfait à l'exigence d'aptitude découlant du principe de la proportionnalité puisqu'il s'agit de préserver la liberté de planification de l'autorité compétente (Ruch, in: Aemisegger/Moor/Ruch/Tschannen (éd.), Commentaire pratique LAT: Planifier l'affectation, 2016, n° 36 ad art. 27). La règle de la nécessité est également respectée lorsque la zone réservée correspond au périmètre concerné par l'obligation de planifier. Tel est le cas en l'occurrence: la zone réservée s'étend à des surfaces constructibles de faible densité situées à la périphérie du territoire construit, ce qui permet d'assurer une liberté d'action suffisante de la commune dans le cadre de la révision de son plan d'affectation à l'échelle de tout le territoire communal.</w:t>
      </w:r>
    </w:p>
    <w:p>
      <w:r>
        <w:rPr>
          <w:b/>
        </w:rPr>
        <w:t>E. 3</w:t>
      </w:r>
    </w:p>
    <w:p>
      <w:r>
        <w:t>Sur le vu de ce qui précède, le recours doit être rejeté, dans la mesure où il est recevable. Conformément à l' art. 66 al. 1 LTF , les frais judiciaires sont mis à la charge du recourant.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