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1C_531/2017 vom 13. April 2018</w:t>
      </w:r>
    </w:p>
    <w:p>
      <w:r>
        <w:t>Bundesgericht, 2018-04-13, FR</w:t>
      </w:r>
    </w:p>
    <w:p>
      <w:r>
        <w:rPr>
          <w:b/>
        </w:rPr>
        <w:t xml:space="preserve">Quelle: </w:t>
      </w:r>
      <w:r>
        <w:t>https://mcp.opencaselaw.ch/entscheid/bger_1C_531_2017</w:t>
      </w:r>
    </w:p>
    <w:p>
      <w:r>
        <w:t>FR: TF 1C_531/2017 du 13 avril 2018</w:t>
      </w:r>
    </w:p>
    <w:p>
      <w:r>
        <w:t>IT: TF 1C_531/2017 del 13 aprile 2018</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le destinataire de la décision attaquée qui a un intérêt digne de protection à l'annulation ou à la modification de celle-ci ( art. 89 al. 1 LTF ), le présent recours est recevable.</w:t>
      </w:r>
    </w:p>
    <w:p>
      <w:r>
        <w:t>Toutefois, dans la mesure où le recourant critique les décisions du SAN, son recours est irrecevable en raison de l'effet dévolutif complet du recours déposé auprès du Tribunal cantonal (cf. ATF 136 II 101 consid. 1.2 p. 104) et de l'exigence d'épuisement des instances cantonales (cf. art. 86 al. 1 let . d LTF).</w:t>
      </w:r>
    </w:p>
    <w:p>
      <w:r>
        <w:rPr>
          <w:b/>
        </w:rPr>
        <w:t>E. 2</w:t>
      </w:r>
    </w:p>
    <w:p>
      <w:r>
        <w:t>Le retrait du permis d'élève conducteur ou du permis de conduire d'une catégorie spéciale entraîne le retrait du permis d'élève conducteur et du permis de conduire de toutes les catégories spéciales.</w:t>
      </w:r>
    </w:p>
    <w:p>
      <w:r>
        <w:rPr>
          <w:b/>
        </w:rPr>
        <w:t>E. 2.1</w:t>
      </w:r>
    </w:p>
    <w:p>
      <w:r>
        <w:t>L' art. 33 OAC , intitulé "Portée du retrait", a la teneur suivante</w:t>
      </w:r>
    </w:p>
    <w:p>
      <w:r>
        <w:t>1 Le retrait du permis d'élève conducteur ou du permis de conduire d'une catégorie ou d'une sous-catégorie entraîne le retrait du permis d'élève conducteur et du permis de conduire de toutes les catégories, de toutes les sous-catégories et de la catégorie spéciale F.</w:t>
      </w:r>
    </w:p>
    <w:p>
      <w:r>
        <w:rPr>
          <w:b/>
        </w:rPr>
        <w:t>E. 2.2</w:t>
      </w:r>
    </w:p>
    <w:p>
      <w:r>
        <w:t>Le recourant fait grief à l'instance précédente d'avoir considéré que le retrait de sécurité du permis de conduire portait sur toutes les catégories en sa possession, en dérogation de la règle de principe posée à l' art. 33 al. 2 OAC . Certes, comme relevé par l'intéressé, cette disposition ne prévoit pas l'extension du retrait du permis de conduire des catégories spéciales (cf. art. 3 al. 3 OAC ) aux catégories et sous-catégories (cf. art. 3 al. 1 et 2 OAC ). Toutefois, la faculté d'étendre le retrait d'un permis de conduire d'une catégorie spéciale également aux catégories et sous-catégories est donnée par l' art. 33 al. 4 let. b OAC . Cette extension n'apparaît en l'occurrence pas critiquable. En effet, le retrait du permis de conduire du recourant est fondé sur l' art. 16c al. 2 let . d LCR, lequel constitue un retrait de sécurité dont le but est d'exclure de la circulation routière le conducteur multirécidiviste jugé inapte à la conduite (cf. ATF 139 II 95 consid. 3.4.2 p. 104). Comme relevé par l'instance précédente, le retrait de sécurité est généralement étendu pour des raisons évidentes de protection de la circulation à toutes les catégories, sous catégories et catégories spéciales de permis mentionnées à l' art. 3 OAC . La majorité de la doctrine plaide d'ailleurs pour une extension de la mesure de retrait de sécurité du permis à toutes les catégories (cf. BUSSY/RUSCONI/JEANNERET/KUHN/ MIZEL/MÜLLER, Code suisse de la circulation routière commenté, 4e éd. 2015, n. 3.7 ad art. 16d LCR ; CÉDRIC MIZEL, Droit et pratique illustrée du retrait du permis de conduire, 2015, §17 let . g, p. 126 s.; BERNHARD RÜTSCHE/NADJA D'AMICO, in Niggli/Probst/Waldmann [éd.], Basler Kommentar LCR, 2014, n. 11 ad art. 16d LCR ; contra: PHILIPPE WEISSENBERGER, Kommentar Strassenverkehrsgesetz und Ordnungsbussengesetz, 2e éd. 2015, n. 18 ad art. 16d LCR , lequel considère que le retrait des catégories spéciales [G et M] nécessite une motivation expresse).</w:t>
      </w:r>
    </w:p>
    <w:p>
      <w:r>
        <w:t>Contrairement à ce que soutient le recourant, le principe de la proportionnalité ne commandait pas de renoncer en l'espèce à étendre la mesure de retrait de permis aux catégories "normales", soit celles mentionnées par l' art. 3 al. 1 et 2 OAC . La motivation de l'instance précédente sur ce point apparaît pertinente et circonstanciée (cf. arrêt entrepris consid. 4c; cf. arrêt 6A.4/2004 du 22 mars 2004 consid. 2.3.2). Celle-ci a tout d'abord souligné que la dernière infraction grave, commise au volant d'un tracteur, était due à une mauvaise prise en compte de la configuration de la route par le recourant et révélait une attitude peu respectueuse pour les autres usagers; il y a lieu de reconnaître, avec l'instance précédente, qu'une telle attitude peut se manifester quelque soit le véhicule utilisé. Elle a ensuite tenu compte du fait que les infractions précédentes reprochées au recourant - qualifiées de moyennement grave, respectivement grave - avaient été commises à deux reprises avec une automobile (perte de maîtrise en raison d'une vitesse inadaptée et excès de vitesse de plus de 58 km/h sur une autoroute limité à 120 km/h). Sur la base de ces éléments, elle pouvait, à juste titre, retenir que le recourant n'arrivait pas à se conformer aux règles de la circulation routière, quel que soit le véhicule qu'il conduisait. Il n'apparaît ainsi pas concevable que l'intéressé se voie interdire, pour des motifs de sécurité, la conduite d'un tracteur mais puisse en revanche conduire une voiture dont le danger potentiel pour la sécurité du trafic n'est en tout cas pas moindre (cf. ATF 113 Ib 57 consid. 3 p. 59). L'instance précédente n'a donc pas violé le droit en considérant que le retrait de sécurité s'étendait en l'espèce à toutes les catégories de permis.</w:t>
      </w:r>
    </w:p>
    <w:p>
      <w:r>
        <w:t>3.</w:t>
      </w:r>
    </w:p>
    <w:p>
      <w:r>
        <w:t>Il s'ensuit que le recours est rejeté, dans la mesure de sa recevabilité. Le recourant, qui succombe, doit supporter les frais de la présente procédure ( art. 65 et 66 al. 1 LTF ).</w:t>
      </w:r>
    </w:p>
    <w:p>
      <w:r>
        <w:rPr>
          <w:b/>
        </w:rPr>
        <w:t>E. 3</w:t>
      </w:r>
    </w:p>
    <w:p>
      <w:r>
        <w:t>Les al. 1 et 2 ne s'appliquent pas lorsqu'un retrait est prononcé pour des raisons médicales.</w:t>
      </w:r>
    </w:p>
    <w:p>
      <w:r>
        <w:rPr>
          <w:b/>
        </w:rPr>
        <w:t>E. 4</w:t>
      </w:r>
    </w:p>
    <w:p>
      <w:r>
        <w:t>L'autorité compétente pour prononcer le retrait peut:</w:t>
      </w:r>
    </w:p>
    <w:p>
      <w:r>
        <w:t>a. combiner le retrait du permis d'élève conducteur ou du permis de conduire d'une catégorie ou d'une sous-catégorie avec le retrait du permis de conduire des catégories spéciales G et M;</w:t>
      </w:r>
    </w:p>
    <w:p>
      <w:r>
        <w:t>b. combiner le retrait du permis d'élève conducteur ou du permis de conduire d'une catégorie spéciale avec le retrait du permis d'élève conducteur ou du permis de conduire des catégories et sous-catégories.</w:t>
      </w:r>
    </w:p>
    <w:p>
      <w:r>
        <w:rPr>
          <w:b/>
        </w:rPr>
        <w:t>E. 5</w:t>
      </w:r>
    </w:p>
    <w:p>
      <w:r>
        <w:t>Afin d'éviter les conséquences d'une rigueur excessive, le retrait du permis de conduire peut être décidé pour une durée différente selon les catégories, sous-catégories ou catégories spéciales sous réserve d'observer la durée minimale fixée par la loi, si, notamment, le titulaire du permis:</w:t>
      </w:r>
    </w:p>
    <w:p>
      <w:r>
        <w:t>a. a commis l'infraction justifiant le retrait avec un véhicule automobile dont il n'a pas besoin pour exercer sa profession, et</w:t>
      </w:r>
    </w:p>
    <w:p>
      <w:r>
        <w:t>b. jouit d'une bonne réputation en tant que conducteur du véhicule de la catégorie, sous-catégorie ou catégorie spéciale pour laquelle il s'agit d'abréger la durée du retrait.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