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531/2016 vom 22. Februar 2017</w:t>
      </w:r>
    </w:p>
    <w:p>
      <w:r>
        <w:t>Bundesgericht, 2017-02-22, FR</w:t>
      </w:r>
    </w:p>
    <w:p>
      <w:r>
        <w:rPr>
          <w:b/>
        </w:rPr>
        <w:t xml:space="preserve">Quelle: </w:t>
      </w:r>
      <w:r>
        <w:t>https://mcp.opencaselaw.ch/entscheid/bger_1C_531_2016</w:t>
      </w:r>
    </w:p>
    <w:p>
      <w:r>
        <w:t>FR: TF 1C 531/2016 du 22 février 2017</w:t>
      </w:r>
    </w:p>
    <w:p>
      <w:r>
        <w:t>IT: TF 1C 531/2016 del 22 febbraio 2017</w:t>
      </w:r>
    </w:p>
    <w:p>
      <w:pPr>
        <w:pStyle w:val="Heading2"/>
      </w:pPr>
      <w:r>
        <w:t>Regeste</w:t>
      </w:r>
    </w:p>
    <w:p>
      <w:r>
        <w:t>aptitude à la conduite d'un véhicule à moteur | Construction des routes et circulation routière</w:t>
      </w:r>
    </w:p>
    <w:p>
      <w:pPr>
        <w:pStyle w:val="Heading2"/>
      </w:pPr>
      <w:r>
        <w:t>Erwägungen</w:t>
      </w:r>
    </w:p>
    <w:p>
      <w:r>
        <w:rPr>
          <w:b/>
        </w:rPr>
        <w:t>E. 1</w:t>
      </w:r>
    </w:p>
    <w:p>
      <w:r>
        <w:t>L'arrêt attaqué, rendu dans le cadre d'une procédure de retrait du permis de conduire, renvoie la cause au SAN afin qu'une nouvelle expertise de la capacité de conduire du recourant soit mise en oeuvre. Cette décision est ainsi susceptible d'un recours en matière de droit public, au sens des art. 82 ss LTF . Elle ne met cependant pas fin à la procédure et n'entre pas dans le champ d'application de l' art. 92 LTF , de sorte que le recours n'est ouvert qu'aux conditions restrictives de l' art. 93 al. 1 LTF . Aux termes de cette disposition, les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Selon la jurisprudence, une décision est susceptible de causer un préjudice irréparable si le recourant encourt un retrait provisoire du permis de conduire et doit avancer les frais de l'examen médical, auquel il doit se soumettre, et qui ne lui seront peut être pas restitués (arrêts 1C_248/2011 du 30 janvier 2012 consid. 1 et les références; 1C_593/2012 du 28 mars 2013 consid. 1; cf. également arrêt 1C_328/2011 du 8 mars 2012 consid. 1). En l'occurrence, dans la mesure où l'UMPT a requis du recourant l'avance des frais d'expertise, sous peine, à défaut de paiement, d'en informer le SAN, pour qu'il en tire, le cas échéant, les conséquences qui s'imposent, la condition de l' art. 93 al. 1 let. a LTF est réalisée, si bien qu'il convient d'entrer en matière.</w:t>
      </w:r>
    </w:p>
    <w:p>
      <w:r>
        <w:rPr>
          <w:b/>
        </w:rPr>
        <w:t>E. 2</w:t>
      </w:r>
    </w:p>
    <w:p>
      <w:r>
        <w:t>Fondé sur la jurisprudence commandant aux autorités administratives de ne pas s'écarter sans motifs des constatations de faits d'un jugement pénal entré en force (cf. ATF 139 II 95 consid. 3.2; ATF 136 II 447 consid. 3.1; ATF 129 II 312 consid. 2.4 et les arrêts cités), l'arrêt attaqué écarte le minimum à l'éthylomètre de 1,89 gramme pour mille au profit du taux d'alcool de 1,512 gramme pour mille retenu par le Tribunal de police. Ce taux étant inférieur au seuil de 1,6 gramme pour mille prévu par l' art. 15d al. 1 let. a LCR , le recourant en déduit que le renvoi de la cause au SAN pour procéder à une nouvelle expertise violerait le droit fédéral et porterait atteinte à sa liberté personnelle. Il se plaint également d'une violation de l' art. 15d al. 1 let. b LCR en lien avec sa médication anxiolytique, de même que d'une violation de son droit d'être entendu.</w:t>
      </w:r>
    </w:p>
    <w:p>
      <w:r>
        <w:rPr>
          <w:b/>
        </w:rPr>
        <w:t>E. 2.1.1</w:t>
      </w:r>
    </w:p>
    <w:p>
      <w:r>
        <w:t>Selon l' art. 14 al. 1 LCR , tout conducteur de véhicule automobile doit posséder l'aptitude et les qualifications nécessaires à la conduite. Il doit notamment disposer des aptitudes physiques et psychiques requises pour conduire un véhicule automobile en toute sécurité (art. 14 al. 2 let. b) et ne souffrir d'aucune dépendance l'en empêchant ( art. 14 al. 2 let . c LCR). Si l'aptitude à la conduite soulève des doutes, la personne concernée fera l'objet d'une enquête dans les cas énumérés de manière non exhaustive à l'art. 15d al. 1 let. a à e LCR (cf. Message du Conseil fédéral du 20 octobre 2010 concernant Via sicura [ci-après: Message], FF 2010 7755). Un examen d'aptitude est en particulier ordonné pour des personnes ayant conduit un véhicule à moteur avec une concentration d'alcool dans le sang de 1,6 gramme pour mille ou plus ou un taux d'alcool dans l'haleine de 0,8 milligramme ou plus par litre d'air expiré ( art. 15d al. 1 let. a LCR ; Message, FF 2010 7755), ce sans exigence de facteurs additionnels (cf. CÉDRIC MIZEL, Droit et pratique illustrée du retrait du permis de conduire, n. 10.3.1 p. 74); un tel examen est également commandé en cas de conduite sous l'emprise de stupéfiants ou transport de stupéfiants qui altèrent fortement la capacité de conduire ou présentent un potentiel de dépendance élevé ( art. 15d al. 1 let. b LCR ). Selon le Message, de tels faits fondent un soupçon préalable que l'aptitude à la conduite pourrait être réduite. En pareil cas, le permis de conduire est généralement retiré à titre provisionnel (retrait préventif selon l'art. 30 de l'ordonnance fédérale du 27 octobre 1976 réglant l'admission des personnes et des véhicules à la circulation routière [OAC, RS 741.51]) jusqu'à ce que les clarifications soient exécutées (FF 2010 7725). Tel est en principe le cas en présence d'un taux d'alcool de 1,6 pour mille ou plus ou un taux d'alcool dans l'haleine de 0,8 milligramme ou plus par litre d'air expiré ( art. 15d al. 1 let. a LCR ; Message, FF 2010 7755; voir également  DANIEL KAISER, Zwangsmassnahmen bei Alkohol- und/oder Betäubungsmittelkonsum im Strassenverkehr, in Strassenverkehr 2/2016, p. 26), une telle concentration étant l'indice d'un problème de consommation abusive, voire d'une addiction (FF 2010 p. 7755 et les auteurs cités; cf. également  CÉDRIC MIZEL,  op. cit., p. 73).</w:t>
      </w:r>
    </w:p>
    <w:p>
      <w:r>
        <w:rPr>
          <w:b/>
        </w:rPr>
        <w:t>E. 2.1.2</w:t>
      </w:r>
    </w:p>
    <w:p>
      <w:r>
        <w:t>Conformément à l' art. 16d al. 1 LCR , le permis de conduire doit être retiré lorsque l'autorité constate que les conditions légales de sa délivrance, énoncées par l' art. 14 LCR , ne sont pas ou plus remplies. Il y a également lieu à retrait du permis de conduire, pour une durée indéterminée, lorsque la personne souffre d'une forme de dépendance la rendant inapte à la conduite ( art. 16d al. 1 let. b LCR ). Ces mesures constituent des retraits de sécurité ( ATF 122 II 359 consid. 1a p. 361;  arrêt 1C_384/2011 du 7 février 2012 consid. 2.3.1;  PHILIPPE WEISSENBERGER, Kommentar zum Strassenverkehrsgesetz, Bundesgerichtspraxis, Zurich 2011, n. 1 ad Vorbemerkungen zu art. 16 ss LCR ).</w:t>
      </w:r>
    </w:p>
    <w:p>
      <w:r>
        <w:rPr>
          <w:b/>
        </w:rPr>
        <w:t>E. 2.2</w:t>
      </w:r>
    </w:p>
    <w:p>
      <w:r>
        <w:t>En l'espèce, la cour cantonale a jugé qu'en dépit d'un taux d'alcool inférieur à 1,6 gramme pour mille - en l'occurrence, 1,512 g/kg -, l' art. 15d al. 1 let. a LCR n'exclut pas qu'un examen d'aptitude à la conduite soit ordonné, lorsqu'il existe des doutes susceptibles d'aboutir à un retrait de sécurité en application de l' art. 16d LCR . En l'occurrence, le recourant ayant non seulement admis avoir circulé après avoir consommé une quantité importante d'alcool, mais également déclaré prendre chaque matin, sur prescription médicale, un tranquillisant (Xanax®, 2 mg), l'instance précédente a jugé cette condition réalisée, justifiant, sur le principe, la mise en oeuvre d'une enquête au sens de l' art. 15d al. 1 LCR . Cela étant, l'instance précédente a jugé que le rapport établi par l'UMPT ne répondait pas aux exigences de la jurisprudence en matière de valeur probante (à ce sujet, cf. ATF 134 V 231 consid. 5.1 p. 232). A cet égard, la cour cantonale a, d'une part, souligné que la conclusion constatant l'existence d'une tolérance augmentée à l'alcool - constituant l'un des critères de dépendance selon la  CIM-  10 -, fondée sur un taux de 1,89 gramme pour mille, était susceptible d'être remise en cause par le taux finalement retenu, notablement inférieur. D'autre part, elle a considéré que le rapport médical était incomplet s'agissant de la prise de Xanax®, celui-ci ne contenant ni anamnèse détaillée en lien avec l'administration de cet anxiolytique ni analyse circonstanciée de son effet sur la conduite, en particulier en lien avec la consommation de boissons alcooliques par le recourant. Estimant qu'il n'était pas possible de juger de l'aptitude de ce dernier sur la base de ce rapport, l'instance précédente a annulé la décision sur réclamation confirmant le retrait de sécurité et retourné la cause au SAN pour qu'une nouvelle expertise soit mise en oeuvre; elle a en conséquence également jugé que le recours contre la décision refusant le réexamen de la décision sur réclamation était devenu sans objet.</w:t>
      </w:r>
    </w:p>
    <w:p>
      <w:r>
        <w:rPr>
          <w:b/>
        </w:rPr>
        <w:t>E. 2.3</w:t>
      </w:r>
    </w:p>
    <w:p>
      <w:r>
        <w:t>Dans un premier grief, le recourant soutient que c'est à tort que l'instance précédente lui reproche de ne pas s'en être pris au principe même de l'expertise déjà au stade de la réclamation contre la décision du 14 septembre 2015 ordonnant cette mesure et le retrait préventif. Selon lui, il ne pouvait alors pas encore contester le bien-fondé de la mise en oeuvre d'un examen d'aptitude, l'existence d'un taux inférieur au seuil de l' art. 15d al. 1 let. a LCR n'étant apparue qu'ultérieurement, avec la notification de la motivation du jugement pénal, le 2 mai 2016. Cette critique n'est pas pertinente et doit d'emblée être écartée. On comprend en effet, à la lecture de l'arrêt attaqué, que l'instance précédente s'est certes demandée si le recourant pouvait encore de bonne foi contester la réalisation d'une expertise dans le cadre de ses recours cantonaux successifs; elle n'en a toutefois tiré aucune conséquence, en particulier quant à la recevabilité de ce grief. La cour cantonale s'est en effet fondée sur les doutes existant quant à l'aptitude à la conduite du recourant - suspicion liée non seulement à la consommation d'alcool, mais également à la prise de médicaments - pour confirmer, sur le principe, la nécessité d'une expertise médicale. L'instance précédente a jugé - comme on l'a vu (cf. consid. 2.2) - qu'en présence de tels doutes un taux inférieur au seuil de l' art. 15d al. 1 let. a LCR n'était en soi pas de nature à exclure le maintien de cette mesure d'instruction. Le recourant remettant également en cause cette dernière appréciation, il convient, à ce stade, de procéder à son examen.</w:t>
      </w:r>
    </w:p>
    <w:p>
      <w:r>
        <w:rPr>
          <w:b/>
        </w:rPr>
        <w:t>E. 2.4.1</w:t>
      </w:r>
    </w:p>
    <w:p>
      <w:r>
        <w:t>Le recourant soutient à cet égard que, dès lors que le taux d'alcool, au moment de son interpellation, était inférieur à la limite de l' art. 15d al. 1 let. a LCR , il n'existerait aucun doute d'une consommation addictive d'alcool justifiant une enquête portant sur son aptitude à la conduite automobile. Il estime que la cour cantonale ne pouvait pas non plus se fonder sur ses aveux quant à sa prise quotidienne de Xanax® pour justifier la poursuite de cette enquête. Selon lui, dès lors que cette médication serait intervenue en dehors de tout lien étroit avec la conduite automobile, les conditions définies à l' art. 15d al. 1 let. b LCR , en lien avec la consommation de stupéfiants, ne seraient pas réalisées. A cet égard, il prétend encore que la cour cantonale aurait violé son droit d'être entendu en tentant "de fonder rétrospectivement une expertise d'aptitude sur un autre motif que celui qui avait été initialement invoqué", à savoir une consommation critique d'alcool. Par ailleurs, le fait que la cour cantonale a mis un terme à la mesure de retrait préventif au motif, d'une part, qu'aucune des conditions de l' art. 15d al. 1 LCR n'était réalisée et, d'autre part, de l'absence d'antécédents, serait, selon le recourant, également de nature à exclure tout examen d'aptitude. A le suivre, l'instance précédente aurait implicitement reconnu, en ordonnant la restitution immédiate du permis de conduire, qu'il n'existait pas de doute quant à l'aptitude à la conduite et ainsi adopté une position paradoxale en ordonnant néanmoins une nouvelle expertise. En définitive, dès lors qu'aucun des cas de figure prévu par l' art. 15d al. 1 LCR ne serait en l'occurrence réalisé, le Tribunal cantonal aurait dû mettre un terme à la procédure en prononçant la restitution définitive du permis de conduire.</w:t>
      </w:r>
    </w:p>
    <w:p>
      <w:r>
        <w:rPr>
          <w:b/>
        </w:rPr>
        <w:t>E. 2.4.2</w:t>
      </w:r>
    </w:p>
    <w:p>
      <w:r>
        <w:t>Le recourant se méprend lorsqu'il déduit de façon mécanique de la restitution provisoire de son permis de conduire l'absence de tout doute quant à sa capacité de conduire. En effet, les exigences liées à la mise en oeuvre d'un examen d'aptitude ne sont pas les mêmes que celles prévalant en matière de retrait préventif, même si, en pratique, les deux mesures vont, dans un premier temps, du moins, souvent de pair (cf. ATF 125 II 396 consid. 3 p. 401 i.f.;arrêt 1C_404/2007 du 7 mars 2008 consid. 2.4; cf. également BUSSY ET AL., Code suisse de la circulation routière commenté, 4 e éd. 2015, n.1.2 ad art. 15d  i.i.). Alors que l'ouverture d'une enquête peut être ordonnée en présence d'indices suffisants pour que se pose la question de l'aptitude à conduire ( art. 11b al. 1 let. a OAC ; cf. ATF 139 II 95 consid. 3.5 p. 105 s.;  arrêt 1C_593/2012 du 28 mars 2013 consid. 3.1), une décision de retrait préventif du permis de conduire suppose, quant à elle, l'existence de doute sérieux sur l'aptitude de conduire de l'intéressé ( art. 30 OAC ;  ibid.), en particulier en présence d'indices concrets d'une dépendance à l'alcool (cf. ATF 125 II 396 consid. 3 p. 401;  arrêt 1C_593/2012 précité consid. 3.3). A l'inverse, une clarification de l'aptitude intervient généralement sans retrait préventif lorsqu'il n'existe pas de danger immédiat pour la circulation routière (BUSSY ET AL.,  op. cit., n.1.2 ad art. 15d  i.f.).</w:t>
      </w:r>
    </w:p>
    <w:p>
      <w:r>
        <w:rPr>
          <w:b/>
        </w:rPr>
        <w:t>E. 2.4.3</w:t>
      </w:r>
    </w:p>
    <w:p>
      <w:r>
        <w:t>En l'espèce, le taux finalement pertinent est inférieur à celui de 1,6 gramme pour mille prévu par l' art. 15d al. 1 let. a LCR , dont on a dit qu'il constituait la limite à partir de laquelle un doute sérieux et concret de dépendance devait être admis (cf. consid. 2.1.1). Sur cette base et en l'absence d'antécédent, le Tribunal cantonal n'a pas vu de motif de maintenir la mesure provisoire que constitue le retrait préventif du permis de conduire. De même a-t-il considéré que les seules déclarations du recourant s'agissant de sa médication anxiolytique étaient également insuffisantes à maintenir cette mesure. Cela étant et quoi qu'en dise le recourant, ces éléments, à savoir un taux d'alcool proche de la limite de l' art. 15d al. 1 let. a LCR (cf. arrêt 1C_99/2007 du 13 juillet 2007 consid. 4.1) couplé à l'administration d'un médicament de catégorie III, selon l'ICADTS, même s'ils ne justifient pas, aux yeux de la cour cantonale, un retrait préventif, sont en revanche de nature à fonder un soupçon d'inaptitude à la conduite que l'intérêt public lié à la sécurité routière commande d'éclaircir (cf. arrêt 1C_593/2012 du 28 mars 2013 consid. 3.3). Ce doute est en outre renforcé par le rapport d'expertise établi par l'UMPT; même si sa mise en oeuvre a été ordonnée alors que le seuil de l' art. 15d al. 1 let. a LCR n'est en l'occurrence pas atteint, l'intérêt public prépondérant à la protection des usagers de la route exige qu'il en soit tenu compte, à titre d'indice, dans le cadre de l'examen général de la capacité de conduire du recourant (cf. ATF 139 II 95 consid. 3.5 p. 105 s.). Si une série de points contenus dans ce rapport - identifiés par l'instance précédente - sont incomplets (cf. consid. 2.2), les autres mesures réalisées par les experts, que le recourant ne remet au demeurant pas en cause devant le Tribunal fédéral, constituent autant d'indices d'une consommation alcoolique potentiellement critique justifiant des éclaircissements. Il en va tout particulièrement ainsi du taux d'EtG dans le prélèvement capillaire, supérieur à 100 pg/mg, correspondant à une consommation chronique et excessive dans les deux à trois mois précédant l'expertise, de même que la présence de stigmates physiques compatibles avec un tel comportement alcoolique, à savoir un discret tremblement des extrémités et un discret érythème facial. A ces éléments s'ajoutent encore les constatations du médecin traitant, également recueillies par l'UMPT, faisant état d'une consommation régulière d'un litre par jour en 2014. Enfin, compte tenu de la catégorie de médicament dans laquelle est répertoriée le Xanax® et les effets potentiels que celui-ci peut avoir sur la conduite automobile, tout spécialement lorsqu'il est associé à une consommation d'alcool, un complément d'instruction sur ce point se justifie également au regard de l'intérêt au maintien de la sécurité routière.</w:t>
      </w:r>
    </w:p>
    <w:p>
      <w:r>
        <w:rPr>
          <w:b/>
        </w:rPr>
        <w:t>E. 2.5</w:t>
      </w:r>
    </w:p>
    <w:p>
      <w:r>
        <w:t>Enfin et pour peu que ce grief soit suffisamment motivé (cf. art. 42 al. 2 et 106 al. 2 LTF), on ne discerne pas en quoi l'instance précédente aurait violé le droit d'être entendu du recourant en se fondant également sur l'existence d'une médication anxiolytique mentionnée dans le rapport de police ainsi que dans le rapport de l'UMPT pour justifier une seconde expertise. Le recourant disposait en effet de la faculté de contester ce point devant l'instance précédente, qui bénéficie d'un plein pouvoir d'examen en fait et en droit (cf. art. 89 de la loi vaudoise sur la procédure administrative du 28 octobre 2008 [LPA-VD; RS/VD 173.36]), la question de cette médication figurant expressément dans la décision de retrait de sécurité du 28 janvier 2016, de même que dans la décision sur réclamation du 18 mars 2016 la confirmant. En outre et quoi qu'il en soit, la nouvelle instruction que devra diligenter le service cantonal des automobiles permettra au recourant d'exercer son droit d'être entendu s'agissant notamment de sa consommation de tranquillisants.</w:t>
      </w:r>
    </w:p>
    <w:p>
      <w:r>
        <w:rPr>
          <w:b/>
        </w:rPr>
        <w:t>E. 2.6</w:t>
      </w:r>
    </w:p>
    <w:p>
      <w:r>
        <w:t>Sur le vu de ce qui précède, c'est sans violer le droit fédéral que la cour cantonale a estimé qu'il existait des doutes quant à l'aptitude à la conduite du recourant justifiant le renvoi de la cause à l'autorité administrative pour qu'une nouvelle expertise médicale soit réalisée.</w:t>
      </w:r>
    </w:p>
    <w:p>
      <w:r>
        <w:rPr>
          <w:b/>
        </w:rPr>
        <w:t>E. 3</w:t>
      </w:r>
    </w:p>
    <w:p>
      <w:r>
        <w:t>Le recours doit pour ce motif être rejeté, aux frais du recourant, qui succombe à ce stade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