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52/2016 vom 7. September 2016</w:t>
      </w:r>
    </w:p>
    <w:p>
      <w:r>
        <w:t>Bundesgericht, 2016-09-07, FR</w:t>
      </w:r>
    </w:p>
    <w:p>
      <w:r>
        <w:rPr>
          <w:b/>
        </w:rPr>
        <w:t xml:space="preserve">Quelle: </w:t>
      </w:r>
      <w:r>
        <w:t>https://mcp.opencaselaw.ch/entscheid/bger_1C_52_2016</w:t>
      </w:r>
    </w:p>
    <w:p>
      <w:r>
        <w:t>FR: TF 1C 52/2016 du 7 septembre 2016</w:t>
      </w:r>
    </w:p>
    <w:p>
      <w:r>
        <w:t>IT: TF 1C 52/2016 del 7 settembre 2016</w:t>
      </w:r>
    </w:p>
    <w:p>
      <w:pPr>
        <w:pStyle w:val="Heading2"/>
      </w:pPr>
      <w:r>
        <w:t>Regeste</w:t>
      </w:r>
    </w:p>
    <w:p>
      <w:r>
        <w:t>protection du patrimoine, mise à l'inventaire d'une villa | Aménagement du territoire et droit public des constructions</w:t>
      </w:r>
    </w:p>
    <w:p>
      <w:pPr>
        <w:pStyle w:val="Heading2"/>
      </w:pPr>
      <w:r>
        <w:t>Erwägungen</w:t>
      </w:r>
    </w:p>
    <w:p>
      <w:r>
        <w:rPr>
          <w:b/>
        </w:rPr>
        <w:t>E. 1</w:t>
      </w:r>
    </w:p>
    <w:p>
      <w:r>
        <w:t>Dirigé contre une décision finale prise en dernière instance cantonale dans le domaine du droit public des constructions et de l'aménagement du territoire, le recours en matière de droit public est en principe recevable, aucune des exceptions prévues à l' art. 83 LTF n'étant réalisée. La recourante a pris part à la procédure de recours devant la cour cantonale. Elle est particulièrement touchée par l'arrêt attaqué qui confirme l'inscription de la villa construite sur sa parcelle à l'inventaire des immeubles dignes d'être protégés. Elle a donc qualité pour agir au sens de l' art. 89 al. 1 LTF . Les autres conditions de recevabilité du recours sont réunies, si bien qu'il y a lieu d'entrer en matière.</w:t>
      </w:r>
    </w:p>
    <w:p>
      <w:r>
        <w:rPr>
          <w:b/>
        </w:rPr>
        <w:t>E. 2</w:t>
      </w:r>
    </w:p>
    <w:p>
      <w:r>
        <w:t>L'inscription de la villa Maier à l'inventaire des immeubles dignes d'être protégés porte une atteinte importante au droit de la propriété de la recourante en tant qu'elle a pour effet d'en interdire la démolition et d'obliger le propriétaire à préserver et à entretenir les éléments dignes de protection (cf. art. 9 al. 1 LPMNS). Pour être admissible, elle doit reposer sur une base légale, être justifiée par un intérêt public et être proportionnée au but visé (cf. art. 36 al. 1 à 3 Cst.). Le principe de la proportionnalité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ou privés compromis ( ATF 140 I 168 consid. 4.2.1 p. 173). Sous ce dernier aspect, une mesure de protection des monuments est incompatible avec la Constitution si elle produit des effets insupportables pour le propriétaire ou ne lui assure pas un rendement acceptable. Savoir ce qu'il en est dépend notamment de l'appréciation des conséquences financières de la mesure critiquée; il incombe à l'autorité d'établir les faits de telle manière qu'apparaissent clairement toutes les conséquences de la mesure, des points de vue de l'utilisation future du bâtiment et des possibilités de rendement pour son propriétaire (cf. ATF 126 I 219 consid. 6c in fine p. 222 et consid. 6h p. 226; arrêt 1P.842/2005 du 30 novembre 2006 consid. 2.4). L'examen, par le Tribunal fédéral, de la proportionnalité d'une mesure de protection d'un bâtiment est en principe libre mais, comme pour l'intérêt public, il s'exerce avec une certaine retenue (arrêt 1C_32/2012 du 7 septembre 2012 consid. 7.1 in SJ 2013 I p. 130).</w:t>
      </w:r>
    </w:p>
    <w:p>
      <w:r>
        <w:rPr>
          <w:b/>
        </w:rPr>
        <w:t>E. 3</w:t>
      </w:r>
    </w:p>
    <w:p>
      <w:r>
        <w:t>La recourante reproche à la cour cantonale d'avoir arbitrairement et en violation de son droit d'être entendue refusé de mettre en oeuvre une expertise pour déterminer le montant des travaux nécessaires à la restauration des bâtiments formant la villa Maier. Il s'agissait pourtant d'un élément essentiel pour apprécier la proportionnalité de la restriction portée à son droit de propriété par l'inscription de la villa à l'inventaire des immeubles dignes d'être protégés.</w:t>
      </w:r>
    </w:p>
    <w:p>
      <w:r>
        <w:rPr>
          <w:b/>
        </w:rPr>
        <w:t>E. 3.1</w:t>
      </w:r>
    </w:p>
    <w:p>
      <w:r>
        <w:t>Tel qu'il est garanti par l' art. 29 al. 2 Cst. ,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p. 299 et les références citées). Le droit d'être entendu consacré à l' art. 29 al. 2 Cst. implique également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p. 564 et les arrêts cités).</w:t>
      </w:r>
    </w:p>
    <w:p>
      <w:r>
        <w:rPr>
          <w:b/>
        </w:rPr>
        <w:t>E. 3.2</w:t>
      </w:r>
    </w:p>
    <w:p>
      <w:r>
        <w:t>La recourante soutenait que l'inscription de la villa Maier à l'inventaire des immeubles dignes d'être protégés lui occasionnait des coûts disproportionnés par rapport à la valeur architecturale réelle des bâtiments et qu'elle ne se justifiait pas. Elle se fondait à cet égard sur un devis établi le 5 novembre 2014 par le bureau d'architectes B.________ qui estimait à 5'505'345 fr. le coût d'une restauration de la villa et sur une expertise immobilière réalisée le 18 décembre 2004 par l'architecte C.________ qui arrêtait la valeur vénale de la propriété à 6'200'000 fr. Le Département estimait pour sa part que les travaux devisés allaient au-delà d'une simple restauration visant à conserver les éléments dignes de protection et portaient sur la remise à neuf de l'ensemble des bâtiments et de leurs éléments tant intérieurs qu'extérieurs ainsi que de la parcelle et de ses aménagements. Il parvenait à une somme de 1'800'000 fr., en s'en tenant strictement aux travaux nécessaires au maintien de la substance des bâtiments et des éléments dignes de protection ou à leur entretien, voire de 3'000'000 fr. en prenant en considération d'autres travaux de confort. Vu les positions divergentes des parties à ce sujet, la recourante a sollicité la mise en oeuvre d'une expertise des coûts des travaux d'entretien et de restauration de la villa Maier. La cour cantonale a refusé de donner suite à cette requête au motif qu'elle avait procédé à un transport sur place et qu'elle disposait d'un dossier complet lui permettant de se prononcer sur les griefs soulevés en connaissance de cause. Sur le fond, elle a considéré que le devis de la recourante comportait de nombreux éléments allant bien au-delà de travaux de maintien de la villa, au prix de coûts supplémentaires conséquents et qui ne constituaient pas en tant que tels des conséquences de la mesure litigieuse. Ce devis recensait en réalité non pas les coûts engendrés par l'inscription à l'inventaire, bien moins élevés, mais ceux d'une rénovation complète. Si plus d'une décennie s'était écoulée depuis l'estimation du coût approximatif des travaux nécessaires à la vente de la villa opérée en décembre 2004 par l'architecte C.________, le montant de 250'000 fr. confirmait que le devis, plus de vingt fois plus élevé, était particulièrement important et allait au-delà de la simple opération de maintien, ceci alors même que les spécialistes ont constaté l'excellent état de conservation de la villa. La cour cantonale a ainsi considéré que le devis estimatif des travaux de restauration produit par la recourante était largement surévalué sans pour autant préciser les postes qu'elle tenait pour injustifiés que ce soit dans leur principe ou dans leur montant de sorte que l'on ignore en définitive le montant approximatif qu'elle a tenu pour décisif à ce titre. Or, le sacrifice financier auquel le propriétaire est soumis du fait de la mise à l'inventaire constitue un élément important pour apprécier si l'atteinte portée par cette mesure à son droit de propriété est supportable ou non (cf. ATF 126 I 219 consid. 6c in fine précité). Si la cour cantonale entendait s'écarter des chiffres articulés par la recourante pour quantifier les travaux de restauration de la villa sans pour autant recourir à une expertise indépendante, il lui appartenait à tout le moins de préciser les postes du devis qu'elle considérait comme infondés et le montant qu'elle considérait comme justifié à cet égard de manière à ce que la recourante et l'autorité de recours puissent vérifier si elle a fait un usage correct du pouvoir d'appréciation qui lui est reconnu dans l'examen de la proportionnalité d'une mesure de protection du patrimoine (cf. ATF 126 Ia 219 consid. 3h précité). Une telle manière de faire s'imposait d'autant plus au regard de la retenue dont le Tribunal fédéral fait preuve sur ce point (cf. arrêt 1C_32/2012 du 7 septembre 2012 consid. 7.1 précité).</w:t>
      </w:r>
    </w:p>
    <w:p>
      <w:r>
        <w:rPr>
          <w:b/>
        </w:rPr>
        <w:t>E. 3.3</w:t>
      </w:r>
    </w:p>
    <w:p>
      <w:r>
        <w:t>En définitive, l'arrêt attaqué est insuffisamment motivé et doit être annulé pour cette raison. Le dossier sera retourné à l'instance précédente pour que celle-ci rende une nouvelle décision, le cas échéant après avoir complété l'instruction en ordonnant une expertise judiciaire des coûts des travaux d'entretien et de restauration de la villa Maier si elle devait juger une telle mesure nécessaire.</w:t>
      </w:r>
    </w:p>
    <w:p>
      <w:r>
        <w:rPr>
          <w:b/>
        </w:rPr>
        <w:t>E. 4</w:t>
      </w:r>
    </w:p>
    <w:p>
      <w:r>
        <w:t>Le recours est par conséquent admis. Le présent arrêt sera rendu sans frais ( art. 66 al. 4 LTF ). La recourante, qui obtient gain de cause avec l'aide d'un avocat, a droit à des dépens à la charge de la République et canton de Genève ( art. 68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