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1C_52/2014 vom 5. Februar 2014</w:t>
      </w:r>
    </w:p>
    <w:p>
      <w:r>
        <w:t>Bundesgericht, 2014-02-05, IT</w:t>
      </w:r>
    </w:p>
    <w:p>
      <w:r>
        <w:rPr>
          <w:b/>
        </w:rPr>
        <w:t xml:space="preserve">Quelle: </w:t>
      </w:r>
      <w:r>
        <w:t>https://mcp.opencaselaw.ch/entscheid/bger_1C_52_2014</w:t>
      </w:r>
    </w:p>
    <w:p>
      <w:r>
        <w:t>FR: TF 1C_52/2014 du 5 février 2014</w:t>
      </w:r>
    </w:p>
    <w:p>
      <w:r>
        <w:t>IT: TF 1C_52/2014 del 5 febbraio 2014</w:t>
      </w:r>
    </w:p>
    <w:p>
      <w:pPr>
        <w:pStyle w:val="Heading2"/>
      </w:pPr>
      <w:r>
        <w:t>Erwägungen</w:t>
      </w:r>
    </w:p>
    <w:p>
      <w:r>
        <w:rPr>
          <w:b/>
        </w:rPr>
        <w:t>E. 1.1</w:t>
      </w:r>
    </w:p>
    <w:p>
      <w:r>
        <w:t>Secondo l' art. 109 cpv. 1 LTF , la corte giudica nella composizione di tre giudici circa la non entrata in materia su ricorsi soggetti all'esigenza dell' art. 84 LTF . Questa norma dispone che contro le decisioni emanate nel campo dell'assistenza giudiziaria internazionale in materia penale il ricorso è ammissibile soltanto se, tra l'altro, come nella fattispecie, concerne la comunicazione di informazioni inerenti alla sfera segreta e, inoltre, se si tratti di un caso particolarmente importante (cpv. 1). Si è segnatamente in presenza di un caso particolarmente importante, laddove vi sono motivi per ritenere che sono stati violati elementari principi procedurali o che il procedimento all'estero presenta gravi lacune (cpv. 2). Ciò non è il caso quando la criticata decisione non si scosta dalla giurisprudenza costante ( DTF 133 IV 131 consid. 3, 215 consid. 1.2; 137 IV 25 consid. 2.2 inedito; 139 IV 301 consid. 1 inedito; 136 IV 16 consid. 1 inedito; sentenza 1C_545/2013 dell'11 luglio 2013 consid. 1.1, destinata a pubblicazione in DTF 139 IV 294 ) o non si ponga una questione giuridica di principio ( DTF 136 IV 20 consid. 1.2; 134 IV 156 consid. 1.3.3 e 1.3.4).</w:t>
      </w:r>
    </w:p>
    <w:p>
      <w:r>
        <w:rPr>
          <w:b/>
        </w:rPr>
        <w:t>E. 1.2</w:t>
      </w:r>
    </w:p>
    <w:p>
      <w:r>
        <w:t>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 DTF 134 IV 156 consid. 1.3.1).</w:t>
      </w:r>
    </w:p>
    <w:p>
      <w:r>
        <w:rPr>
          <w:b/>
        </w:rPr>
        <w:t>E. 2.1</w:t>
      </w:r>
    </w:p>
    <w:p>
      <w:r>
        <w:t>La ricorrente, alla quale spetta spiegare perché la causa adempirebbe le citate condizioni (art. 42 cpv. 2 secondo periodo LTF; DTF 133 IV 131 consid. 3), sostiene che si sarebbe in presenza di un caso importante di violazione del principio della proporzionalità, segnatamente riguardo all'applicazione del cosiddetto principio dell'utilità potenziale (al riguardo vedi DTF 136 IV 82 consid. 4.1; 126 II 258 consid. 9c pag. 264), asseritamente interpretato in maniera estremamente estensiva nella fattispecie. Fa valere in particolare che in concreto l'autorità estera avrebbe richiesto soltanto l'invio di determinata documentazione bancaria, segnatamente quella inerente al versamento litigioso avvenuto il 28 maggio 2008. L'ordinata trasmissione del formulario A, che indicava l'originario beneficiario economico del conto aperto il 26 ottobre 2004, poi annullato e sostituito in data 24 luglio 2007, nonché degli ordini di chiusura della rubrica Euro del 31 agosto seguente e della relazione bancaria del 19 novembre 2009, documenti non espressamente richiesti dall'autorità italiana e che non sarebbero potenzialmente utili per l'inchiesta estera, violerebbe il citato principio. Ne deduce che il Tribunale federale dovrebbe pertanto definire le modalità dell'applicazione di detto principio, asseritamente interpretato in maniera estremamente estensiva nella fattispecie.</w:t>
      </w:r>
    </w:p>
    <w:p>
      <w:r>
        <w:rPr>
          <w:b/>
        </w:rPr>
        <w:t>E. 2.2</w:t>
      </w:r>
    </w:p>
    <w:p>
      <w:r>
        <w:t>Ora, rilevato che le critiche ricorsuali manifestamente non reggerebbero in considerazione della vicinanza temporale dei documenti in questione e in particolare della loro modifica, in concreto l'istanza precedente non si è per nulla scostata dalla giurisprudenza costante riguardo all'applicazione del principio litigioso: nella decisione impugnata sono state compiutamente illustrate le condizioni di detto principio, con le quali la ricorrente peraltro non si confronta. Del resto, nella fattispecie la critica ricorsuale verte unicamente su una contestata valutazione delle prove. Non si è quindi manifestamente in presenza di un caso particolarmente importante.</w:t>
      </w:r>
    </w:p>
    <w:p>
      <w:r>
        <w:rPr>
          <w:b/>
        </w:rPr>
        <w:t>E. 3</w:t>
      </w:r>
    </w:p>
    <w:p>
      <w:r>
        <w:t>Il ricorso dev'essere pertanto dichiarato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