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529/2023 vom 10. Oktober 2023</w:t>
      </w:r>
    </w:p>
    <w:p>
      <w:r>
        <w:t>Bundesgericht, 2023-10-10, DE</w:t>
      </w:r>
    </w:p>
    <w:p>
      <w:r>
        <w:rPr>
          <w:b/>
        </w:rPr>
        <w:t xml:space="preserve">Quelle: </w:t>
      </w:r>
      <w:r>
        <w:t>https://mcp.opencaselaw.ch/entscheid/bger_1C_529_2023</w:t>
      </w:r>
    </w:p>
    <w:p>
      <w:r>
        <w:t>FR: TF 1C 529/2023 du 10 octobre 2023</w:t>
      </w:r>
    </w:p>
    <w:p>
      <w:r>
        <w:t>IT: TF 1C 529/2023 del 10 ottobre 2023</w:t>
      </w:r>
    </w:p>
    <w:p>
      <w:pPr>
        <w:pStyle w:val="Heading2"/>
      </w:pPr>
      <w:r>
        <w:t>Regeste</w:t>
      </w:r>
    </w:p>
    <w:p>
      <w:r>
        <w:t>Internationale Rechtshilfe in Strafsachen an Deutschland; Herausgabe von Beweismitteln, unentgeltliche Rechtspflege | Rechtshilfe und Auslieferung</w:t>
      </w:r>
    </w:p>
    <w:p>
      <w:pPr>
        <w:pStyle w:val="Heading2"/>
      </w:pPr>
      <w:r>
        <w:t>Erwägungen</w:t>
      </w:r>
    </w:p>
    <w:p>
      <w:r>
        <w:rPr>
          <w:b/>
        </w:rPr>
        <w:t>E. 1</w:t>
      </w:r>
    </w:p>
    <w:p>
      <w:r>
        <w:t>Gemäss Art. 84 Abs. 1 BGG ist gegen einen Entscheid auf dem Gebiet der internationalen Rechtshilfe in Strafsachen die Beschwerde nur zulässig, wenn es sich um einen besonders bedeutenden Fall handelt. Nach Art. 42 Abs. 2 BGG muss ausgeführt werden, warum diese Voraussetzung erfüllt ist. Der Beschwerdeführer tut dies nur insoweit, als er dem Bundesstrafgericht vorwirft, den Anspruch auf rechtliches Gehör ( Art. 29 Abs. 2 BV ) verletzt zu haben, indem es nicht darauf eingegangen sei, dass eine Rechtsfrage von grundsätzlicher Bedeutung vorliege. Eine solche stelle sich hier, weil das deutsche Rechtshilfeersuchen auf einem Hacking von Kryptomobiltelefonen durch die französischen Behörden beruhe und die Rechtmässigkeit dieses Vorgehens unklar sei. Weiter sei auch die Frage der rechtshilfeweisen Übermittlung einer Mobiltelefonauswertung, die letztlich gleich wie die Herausgabe des Mobiltelefons selbst wirke und damit eine Zwangsmassnahme darstelle, noch nicht geklärt. Das Bundesstrafgericht führte aus, der Beschwerdeführer könne die Frage der Verwertbarkeit der aus Frankreich erlangten Chatnachrichten im deutschen Verfahren vorbringen. Eine Verletzung von Art. 2 IRSG sei diesbezüglich zu verneinen. Die Frage, ob die Herausgabe von Verfahrensakten überhaupt eine Zwangsmassnahme darstelle und damit die Beschwerdelegitimation bejaht werden könne, liess es offen, weil die Beschwerde materiell unbegründet sei. Diese Ausführungen genügen der Begründungspflicht. Eine Verletzung des rechtlichen Gehörs durch die Vorinstanz ist in dieser Hinsicht nicht erkennbar. Auf die zentrale Erwägung des angefochtenen Entscheids, wonach die Verwertbarkeit der Beweismittel im deutschen Strafverfahren geltend zu machen sei, geht der Beschwerdeführer seinerseits nicht ein. Soweit die Beschwerde die Begründungsanforderungen von Art. 42 Abs. 2 BGG erfüllt, besteht für das Bundesgericht vor diesem Hintergrund kein Anlass, sich mit der Sache zu befassen.</w:t>
      </w:r>
    </w:p>
    <w:p>
      <w:r>
        <w:rPr>
          <w:b/>
        </w:rPr>
        <w:t>E. 2</w:t>
      </w:r>
    </w:p>
    <w:p>
      <w:r>
        <w:t>Auf die Beschwerde ist somit nicht einzutreten. Das Gesuch des Beschwerdeführers um unentgeltliche Rechtspflege ist abzuweisen, da die Beschwerde angesichts der unzureichenden Begründung als aussichtslos erscheint (vgl. Art. 64 Abs. 1 BGG ). Der Beschwerdeführer trägt deshalb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