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1C_529/2016 vom 15. November 2016</w:t>
      </w:r>
    </w:p>
    <w:p>
      <w:r>
        <w:t>Bundesgericht, 2016-11-15, DE</w:t>
      </w:r>
    </w:p>
    <w:p>
      <w:r>
        <w:rPr>
          <w:b/>
        </w:rPr>
        <w:t xml:space="preserve">Quelle: </w:t>
      </w:r>
      <w:r>
        <w:t>https://mcp.opencaselaw.ch/entscheid/bger_1C_529_2016</w:t>
      </w:r>
    </w:p>
    <w:p>
      <w:r>
        <w:t>FR: TF 1C_529/2016 du 15 novembre 2016</w:t>
      </w:r>
    </w:p>
    <w:p>
      <w:r>
        <w:t>IT: TF 1C_529/2016 del 15 novembre 2016</w:t>
      </w:r>
    </w:p>
    <w:p>
      <w:pPr>
        <w:pStyle w:val="Heading2"/>
      </w:pPr>
      <w:r>
        <w:t>Erwägungen</w:t>
      </w:r>
    </w:p>
    <w:p>
      <w:r>
        <w:rPr>
          <w:b/>
        </w:rPr>
        <w:t>E. 1</w:t>
      </w:r>
    </w:p>
    <w:p>
      <w:r>
        <w:t>In einem Strafverfahren gegen A.________ erliess Staatsanwalt Burgermeister am 5. August 2016 einen Durchsuchungsbefehl für die Wohnung von A.________. Am 8. August 2016 führten vier Beamte der Kantonspolizei St. Gallen in Anwesenheit des Staatsanwalts die Durchsuchung durch und stellten drei Ordner und eine Aktenmappe sicher, für welche die Siegelung beantragt wurde.</w:t>
      </w:r>
    </w:p>
    <w:p>
      <w:r>
        <w:rPr>
          <w:b/>
        </w:rPr>
        <w:t>E. 2</w:t>
      </w:r>
    </w:p>
    <w:p>
      <w:r>
        <w:t>A.________ wandte sich in der Folge mit verschiedenen Schreiben an den Vorsteher des Sicherheits- und Justizdepartements und den fallführenden Staatsanwalt, um sich im Wesentlichen über die Hausdurchsuchung zu beschweren. Zudem warf sie den an der Hausdurchsuchung beteiligten Personen strafrechtlich relevantes Verhalten vor. Am 11. August 2016 überwies das Sicherheits- und Justizdepartement die Eingaben an die Anklagekammer des Kantons St. Gallen. Mit Entscheid vom 21. September 2016 trat die Anklagekammer auf die Beschwerde gegen die Hausdurchsuchung nicht ein und erteilte keine Ermächtigung zur Eröffnung eines Strafverfahrens. Zur Begründung führte die Anklagekammer zusammenfassend aus, dass sich der Strafanzeige kein strafrechtlich relevantes Verhalten entnehmen lasse. Die vagen Hinweise der Anzeigerin auf ein möglicherweise strafbares Verhalten ohne konkrete Verdachtsmomente würden die Ermächtigung zur Eröffnung einer Strafuntersuchung nicht rechtfertigen.</w:t>
      </w:r>
    </w:p>
    <w:p>
      <w:r>
        <w:rPr>
          <w:b/>
        </w:rPr>
        <w:t>E. 3</w:t>
      </w:r>
    </w:p>
    <w:p>
      <w:r>
        <w:t>A.________ führt mit Eingabe vom 13. November 2016 Beschwerde in öffentlich-rechtlichen Angelegenheiten gegen den Entscheid der Anklagekammer des Kantons St. Gallen.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der Begründung der Anklagekammer, welche zur Verweigerung der Ermächtigung führte, nicht rechtsgenüglich auseinander. Mit der Darstellung ihrer Sicht der Dinge vermag die Beschwerdeführerin nicht ansatzweise aufzuzeigen, inwiefern die Begründung der Anklagekammer bzw. die Verneinung eines Anfangsverdachts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