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529/2013 vom 29. November 2013</w:t>
      </w:r>
    </w:p>
    <w:p>
      <w:r>
        <w:t>Bundesgericht, 2013-11-29, FR</w:t>
      </w:r>
    </w:p>
    <w:p>
      <w:r>
        <w:rPr>
          <w:b/>
        </w:rPr>
        <w:t xml:space="preserve">Quelle: </w:t>
      </w:r>
      <w:r>
        <w:t>https://mcp.opencaselaw.ch/entscheid/bger_1C_529_2013</w:t>
      </w:r>
    </w:p>
    <w:p>
      <w:r>
        <w:t>FR: TF 1C 529/2013 du 29 novembre 2013</w:t>
      </w:r>
    </w:p>
    <w:p>
      <w:r>
        <w:t>IT: TF 1C 529/2013 del 29 novembre 2013</w:t>
      </w:r>
    </w:p>
    <w:p>
      <w:pPr>
        <w:pStyle w:val="Heading2"/>
      </w:pPr>
      <w:r>
        <w:t>Regeste</w:t>
      </w:r>
    </w:p>
    <w:p>
      <w:r>
        <w:t>permis de construire, art. 75b Cst. | Aménagement du territoire et droit public des constructions</w:t>
      </w:r>
    </w:p>
    <w:p>
      <w:pPr>
        <w:pStyle w:val="Heading2"/>
      </w:pPr>
      <w:r>
        <w:t>Erwägungen</w:t>
      </w:r>
    </w:p>
    <w:p>
      <w:r>
        <w:rPr>
          <w:b/>
        </w:rPr>
        <w:t>E. 1</w:t>
      </w:r>
    </w:p>
    <w:p>
      <w:r>
        <w:t>Les sept arrêts attaqués se rapportent à des permis de construire de même nature, délivrés par la commune à la même société. Les recours sont formés pour des motifs identiques. Il y a lieu dès lors de joindre les causes et de statuer par un seul arrêt.</w:t>
      </w:r>
    </w:p>
    <w:p>
      <w:r>
        <w:rPr>
          <w:b/>
        </w:rPr>
        <w:t>E. 2</w:t>
      </w:r>
    </w:p>
    <w:p>
      <w:r>
        <w:t>La commune a fait savoir que l'intimée, destinataire des permis de construire, serait actuellement en faillite dans le canton du Valais. Elle en déduit toutefois à tort que les recours seraient devenus sans objet. Dans la mesure où la constructrice n'a pas déclaré retirer ses demandes de permis, ceux-ci demeurent en force, de même que les arrêts cantonaux, et il y a lieu dès lors de statuer sur les recours. Selon l' art. 207 al. 1 et 2 LP , les procès civils et administratifs auxquels le failli est partie sont suspendus, pour autant qu'ils aient une influence sur la masse en faillite. Tel n'est pas le cas des présentes contestations, qui portent sur la validité de permis de construire. Une suspension ne se justifie donc pas.</w:t>
      </w:r>
    </w:p>
    <w:p>
      <w:r>
        <w:rPr>
          <w:b/>
        </w:rPr>
        <w:t>E. 3</w:t>
      </w:r>
    </w:p>
    <w:p>
      <w:r>
        <w:t>Les recours portent sur des autorisations de construire des résidences secondaires délivrées après l'adoption, par le peuple et les cantons, des art. 75b et 197 ch. 9 al. 2 Cst. Ces dispositions prévoient ce qui suit: Art. 75b        Résidences secondaires 1 Les résidences secondaires constituent au maximum 20 % du parc des logements et de la surface brute au sol habitable de chaque commune. 2 La loi oblige les communes à publier chaque année leur plan de quotas de résidences principales et l'état détaillé de son exécution. Art. 197       Dispositions transitoires après acceptation de la Constitution du 18 avril 1999 [...] 9. Dispositions transitoires ad art. 75b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2 Les permis de construire des résidences secondaires qui auront été délivrés entre le 1er janvier de l'année qui suivra l'acceptation de l'art. 75b par le peuple et les cantons et la date d'entrée en vigueur de ses dispositions d'exécution seront nuls.</w:t>
      </w:r>
    </w:p>
    <w:p>
      <w:r>
        <w:rPr>
          <w:b/>
        </w:rPr>
        <w:t>E. 4</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de l'accomplissement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(même arrêt, consid. 11.2).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 Le Tribunal fédéral a par ailleurs admis dans un deuxième arrêt de principe que l' art. 75b Cst. (en relation avec l' art. 197 ch. 9 al. 2 Cst. ) est directement applicable dès son entrée en vigueur le 11 mars 2012 ( ATF 139 II 243 ). En effet, l' art. 197 ch. 9 al. 2 Cst. ne précisant pas quelles communes sont visées, il ne peut être lu qu'à la lumière de l' art. 75b Cst. Dans la mesure où la disposition transitoire prévoit la nullité des permis de construire délivrés entre le 1er janvier 2013 et la date d'entrée en vigueur de la législation d'exécution, il apparaît que ces deux dispositions sont d'applicabilité directe (consid. 9.1). Le titre de l'initiative, le message du Conseil fédéral et les explications fournies avec le matériel de vote confirment cette interprétation, les discussions ayant toujours mis en avant le moratoire brutal que l'acceptation de l'initiative impliquerait (consid. 9.2). S'agissant de la période ayant couru entre l'acceptation de l'initiative populaire le 11 mars 2012 et le 1er janvier 2013, il apparaît que les champs d'application matériel et spatial de l' art. 75b Cst. sont suffisamment définis: dans la plupart des cas, la notion de résidence secondaire, qui figure dans d'autres dispositions légales, ne prête pas à confusion et, en cas de doute, il y a lieu de lui donner préventivement une interprétation large, la restriction à la garantie de la propriété n'étant que temporaire (le législateur ayant pour mandat de légiférer d'ici au 11 mars 2014); s'agissant des communes visées, le registre fédéral des bâtiments et des logements et le recensement fédéral de 2000 permettent de les déterminer, à tout le moins provisoirement (consid. 10). Selon les principes généraux du droit, la disposition constitutionnelle est applicable à toutes les autorisations de construire délivrées après son entrée en vigueur et les décisions non conformes à cette disposition sont annulables. Si, dès le 1er janvier 2013, l' art. 197 ch. 9 al. 2 Cst. aggrave l'effet juridique de la non-conformité au droit par la nullité, avant cette date, la sanction des autorisations de construire inconstitutionnelles demeure l'annulabilité (consid. 11.1-11.3). Cette solution, qui correspond aux sens et but de l' art. 75b Cst. , est corroborée par les déclarations des autorités fédérales et des opposants avant la votation (consid. 11.4-11.5). Enfin, dans un troisième arrêt rendu le 22 mai 2013 ( ATF 139 II 263 ), le Tribunal fédéral a jugé que la date déterminante pour l'application de l' art. 75b Cst. était celle de la délivrance du permis de construire. L'autorité appliquant le droit en vigueur au jour où elle statue, la nouvelle disposition est en principe contraignante pour toute autorisation délivrée après le 11 mars 2012, quelle que soit la date à laquelle la demande a été déposée. Alors qu'un permis délivré après le 1er janvier 2013 est nul en vertu de l' art. 197 ch. 9 al. 2 Cst. , un permis délivré avant cette date mais après le 11 mars 2012 est annulable. Il y a bien évidemment lieu de réserver les cas de figure particuliers de la protection de la confiance ou du déni de justice (consid. 7). Dans la mesure où la demande de permis a été déposée peu avant la date de la votation, les requérants devaient compter avec le risque que la disposition constitutionnelle soit adoptée et devienne dès lors applicable à leur projet de construction (consid. 8). Dans les communes où le taux de 20% de résidences secondaires est déjà atteint, les permis de construire concernant ces dernières délivrés entre le 11 mars 2012 et le 31 décembre 2012 sont ainsi annulables.</w:t>
      </w:r>
    </w:p>
    <w:p>
      <w:r>
        <w:rPr>
          <w:b/>
        </w:rPr>
        <w:t>E. 5</w:t>
      </w:r>
    </w:p>
    <w:p>
      <w:r>
        <w:t>En l'espèce, les permis de construire ont été délivrés après l'entrée en vigueur des art. 75b et 197 ch. 9 Cst. Il n'est pas contesté que les constructions prévues sont des résidences secondaires, ni que le parc des logements de la commune concernée comporte plus de 20% de résidences secondaires. Dans ces circonstances, les permis de construire doivent être annulés et les demandes de permis de construire définitivement rejetées, conformément aux principes rappelés ci-dessus.</w:t>
      </w:r>
    </w:p>
    <w:p>
      <w:r>
        <w:rPr>
          <w:b/>
        </w:rPr>
        <w:t>E. 6</w:t>
      </w:r>
    </w:p>
    <w:p>
      <w:r>
        <w:t>Compte tenu de l'issue des causes, les frais judiciaires et les dépens sont mis à la charge de l'intimée qui succombe (art. 66 al. 1 et 68 al. 1 LTF). Il y a lieu également, conformément aux art. 67 et 68 al. 5 LTF , de fixer les frais et dépens pour la procédure devant le Tribunal cantonal. La constructrice n'avait pas été appelée à procéder devant cette instance mais, compte tenu de ce qui précède, la cour cantonale aurait dû statuer en sa défaveur, ce qui justifie la mise à sa charge des frais de justice ainsi que des dépens en faveur de la recourante. Au vu du grand nombre de recours similaires déposés par la recourante, il convient de réduire les dépens et de les fixer à 7'000 fr. pour l'ensemble des procédures fédérale et cantonale. Enfin, la cause doit être renvoyée à la commune de Gryon afin qu'elle statue sur les frais des procédures communales d'autorisation de construire et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