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1C_529/2012 vom 29. Januar 2013</w:t>
      </w:r>
    </w:p>
    <w:p>
      <w:r>
        <w:t>Bundesgericht, 2013-01-29, DE</w:t>
      </w:r>
    </w:p>
    <w:p>
      <w:r>
        <w:rPr>
          <w:b/>
        </w:rPr>
        <w:t xml:space="preserve">Quelle: </w:t>
      </w:r>
      <w:r>
        <w:t>https://mcp.opencaselaw.ch/entscheid/bger_1C_529_2012</w:t>
      </w:r>
    </w:p>
    <w:p>
      <w:r>
        <w:t>FR: TF 1C_529/2012 du 29 janvier 2013</w:t>
      </w:r>
    </w:p>
    <w:p>
      <w:r>
        <w:t>IT: TF 1C_529/2012 del 29 gennaio 2013</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Der Beschwerdeführer ist als Grundeigentümer und direkter Adressat des angefochtenen Entscheids gemäss Art. 89 Abs. 1 BGG zur Beschwerde berechtigt.</w:t>
      </w:r>
    </w:p>
    <w:p>
      <w:r>
        <w:rPr>
          <w:b/>
        </w:rPr>
        <w:t>E. 1.2</w:t>
      </w:r>
    </w:p>
    <w:p>
      <w:r>
        <w:t>Nach Art. 99 BGG dürfen neue Tatsachen und Beweismittel nur so weit vorgebracht werden, als erst der Entscheid der Vorinstanz dazu Anlass gibt. Mit seinem nachträglichen Beweismittelantrag will der Beschwerdeführer belegen, dass auch seine Ehefrau wegen Sehproblemen auf eine bessere Ausleuchtung des Zufahrtsweges angewiesen sei. Da nicht erst der angefochtene Entscheid Anlass gab, dies vorzubringen, und da die Eingabe überdies nach Ablauf der 30-tätigen Beschwerdefrist gemäss Art. 100 Abs. 1 BGG eingereicht worden ist, kann darauf nicht eingetreten werden.</w:t>
      </w:r>
    </w:p>
    <w:p>
      <w:r>
        <w:rPr>
          <w:b/>
        </w:rPr>
        <w:t>E. 2.1</w:t>
      </w:r>
    </w:p>
    <w:p>
      <w:r>
        <w:t>Nach Art. 97 Abs. 1 und Art. 105 BGG ist das Bundesgericht an die Feststellung des Sachverhalts gebunden, soweit diese nicht offensichtlich unrichtig ist oder auf einer qualifizierten Rechtsverletzung (gemäss Art. 95 BGG ) beruht.</w:t>
      </w:r>
    </w:p>
    <w:p>
      <w:r>
        <w:rPr>
          <w:b/>
        </w:rPr>
        <w:t>E. 2.2</w:t>
      </w:r>
    </w:p>
    <w:p>
      <w:r>
        <w:t>Aus den Akten, unter anderem aus den vom Beschwerdeführer als Beilagen zur Beschwerdeschrift eingereichten und auch sonst in den Akten liegenden Umgebungsplänen, geht hervor, dass es in der Sache ursprünglich um mehrere jeweils als "Kunstgegenstand" bezeichnete Skulpturen und etliche "Leuchtkörper" ging, die je über die ganze Liegenschaft verteilt waren oder werden sollten. Der Beschwerdeführer selbst verwendete in seiner Beschwerdeschrift an das Verwaltungsgericht das Wort "Pferdchen" im Plural. Davon gingen auch sämtliche Vorinstanzen aus. Wenn der Beschwerdeführer nunmehr vor dem Bundesgericht behauptet, strittig sei einzig die Aufstellung einer einzigen Skulptur sowie die Zusatzbeleuchtung des Zufahrtsweges, so steht das in klarem Widerspruch zu den Akten sowie den verbindlichen Feststellungen des Verwaltungsgerichts und läuft dies auf eine unzulässige Änderung des Streitgegenstandes hinaus. Auszugehen ist vielmehr davon, dass Streitobjekt das Aufstellen mehrerer Pferdeskulpturen und Leuchtkörper auf der Liegenschaft des Beschwerdeführers bildet.</w:t>
      </w:r>
    </w:p>
    <w:p>
      <w:r>
        <w:rPr>
          <w:b/>
        </w:rPr>
        <w:t>E. 3</w:t>
      </w:r>
    </w:p>
    <w:p>
      <w:r>
        <w:t>Der Beschwerdeführer rügt eine Gehörsverweigerung, weil das Verwaltungsgericht sich in der Begründung des angefochtenen Entscheids lediglich zu den Pferdeskulpturen und nicht auch zur Frage der Leuchtkörper äussere. Zwar trifft es zu, dass die Urteilsbegründung der Vorinstanz keine ausdrücklichen Aussagen zur Beleuchtung enthält. Das Verwaltungsgericht ging aber offensichtlich mit Grund genau gleich wie das Bundesgericht von einem umfassenden Streitobjekt aus (vgl. E. 2.2). Seine Begründung bezieht sich daher ohne weiteres auf das Gesamtvorhaben von Skulpturen in Kombination mit Beleuchtungseinrichtungen. Dass dies nicht ausdrücklich vermerkt wird, ist zwar bedauerlich, bedeutet unter diesen Umständen aber keine Gehörsverletzung, weil eine einschlägige, nachvollziehbare und anfechtbare Entscheidbegründung durchaus vorliegt. Das Verwaltungsgericht musste sich daher nicht zwingend inhaltlich mit Argumenten auseinander setzen, die nicht auf das Gesamtvorhaben ausgerichtet waren, sondern mit denen der Beschwerdeführer insbesondere neu und ausserhalb des Verfahrensgegenstandes eine ungenügende Beleuchtung des Zufahrtsweges geltend machen wollte, wobei es immerhin sinnvoll gewesen wäre, das Verwaltungsgericht hätte dies kurz entsprechend erläutert.</w:t>
      </w:r>
    </w:p>
    <w:p>
      <w:r>
        <w:rPr>
          <w:b/>
        </w:rPr>
        <w:t>E. 4</w:t>
      </w:r>
    </w:p>
    <w:p>
      <w:r>
        <w:t>Die fragliche Liegenschaft befindet sich unbestrittenermassen in der Landwirtschaftszone und der nach dem Recht des Kantons Solothurn besonders geschützten Juraschutzzone (gemäss § 22 der solothurnischen Verordnung vom 14. November 1980 über den Natur- und Heimatschutz, BGS 435.141).</w:t>
      </w:r>
    </w:p>
    <w:p>
      <w:r>
        <w:rPr>
          <w:b/>
        </w:rPr>
        <w:t>E. 5.1</w:t>
      </w:r>
    </w:p>
    <w:p>
      <w:r>
        <w:t>Nach Art. 22 Abs. 1 RPG dürfen Bauten und Anlagen nur mit behördlicher Bewilligung errichtet werden.</w:t>
      </w:r>
    </w:p>
    <w:p>
      <w:r>
        <w:rPr>
          <w:b/>
        </w:rPr>
        <w:t>E. 5.1.1</w:t>
      </w:r>
    </w:p>
    <w:p>
      <w:r>
        <w:t>Von der gesetzlichen Bewilligungspflicht erfasst werden zumindest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Entscheidend ist die räumliche Bedeutung eines Vorhabens als Ganzes (BERNHARD WALDMANN/PETER HÄNNI, Raumplanungsgesetz, Kommentar, 2006, Rz. 10 zu Art. 22 RPG ). Auch blosse Nutzungsänderungen, die ohne bauliche Vorkehrungen auskommen, unterstehen der Bewilligungspflicht, wenn sie neu, organisiert und von erheblicher Intensität sind, regelmässig erfolgen und auf Dauer angelegt sind (vgl. BGE 113 Ib 219 E. 4d S. 223). In diesem Sinne können ebenfalls ortsfest verwendete Fahrnisbauten, Kunstgegenstände oder -formen (wie etwa Pyramiden, vgl. BGE 119 Ib 442 ) und Beleuchtungseinrichtungen (dazu insbes. BGE 123 II 256 ) zu den bewilligungspflichtigen Bauten und Anlagen zählen, wenn sie die entsprechenden räumlichen Auswirkungen zeitigen (vgl. auch die Kasuistik bei WALDMANN/HÄNNI, a.a.O., Rz. 15 zu Art. 22 RPG ).</w:t>
      </w:r>
    </w:p>
    <w:p>
      <w:r>
        <w:rPr>
          <w:b/>
        </w:rPr>
        <w:t>E. 5.1.2</w:t>
      </w:r>
    </w:p>
    <w:p>
      <w:r>
        <w:t>Im vorliegenden Fall besteht zwar offenbar, wie auch die Vorinstanz festgehalten hat, kein eigentliches künstlerisches Konzept. Aus den Akten und Plänen geht aber hervor, dass es sich um ein integrales Vorhaben der Kombination von Pferdeskulpturen und Beleuchtungskörpern handelt, die über das gesamte Grundstück verteilt werden sollten. Auch wenn dies mit einer gewissen Flexibilität (insbesondere Verstellbarkeit der Skulpturen) verbunden sein sollte, ist das Vorhaben doch von der ursprünglichen und hier massgeblichen Planung her insgesamt auf Dauer ausgelegt und mit erheblichen Auswirkungen auf die räumliche Nutzung der Parzelle verbunden. Damit untersteht es der Bewilligungspflicht nach Art. 22 Abs. 1 RPG .</w:t>
      </w:r>
    </w:p>
    <w:p>
      <w:r>
        <w:rPr>
          <w:b/>
        </w:rPr>
        <w:t>E. 5.2</w:t>
      </w:r>
    </w:p>
    <w:p>
      <w:r>
        <w:t>Nach Art. 22 Abs. 2 lit. a RPG setzt eine Bewilligung die Zonenkonformität der Baute oder Anlage voraus. Da die fragliche Parzelle in der Landwirtschaftszone liegt, sind nur solche Bauten und Anlagen zonenkonform, die der bodenabhängigen Bewirtschaftung dienen (vgl. Art. 16a RPG ). Die strittigen Pferdeskulpturen und Leuchtkörper dienen nicht der bodenabhängigen Produktion und sind demnach nicht betriebsnotwendig, was eine ordentliche Baubewilligung ausschliesst.</w:t>
      </w:r>
    </w:p>
    <w:p>
      <w:r>
        <w:rPr>
          <w:b/>
        </w:rPr>
        <w:t>E. 6.1</w:t>
      </w:r>
    </w:p>
    <w:p>
      <w:r>
        <w:t>Nach Art. 24 RPG können im Sinne einer Ausnahme Bewilligungen zur Errichtung von Bauten und Anlagen oder zu deren Zweckänderung erteilt werden, wenn der Zweck einen Standort ausserhalb der Bauzonen erfordert und keine überwiegenden Interessen entgegenstehen. Die Standortgebundenheit muss sich aus objektiv sachlichen Gründen ergeben und beruht in der Regel auf technischen oder betriebswirtschaftlichen Zusammenhängen oder ist Folge der Bodenbeschaffenheit (vgl. WALDMANN/HÄNNI, a.a.O., Rz. 8 ff. zu Art. 24 RPG ).</w:t>
      </w:r>
    </w:p>
    <w:p>
      <w:r>
        <w:rPr>
          <w:b/>
        </w:rPr>
        <w:t>E. 6.2</w:t>
      </w:r>
    </w:p>
    <w:p>
      <w:r>
        <w:t>Die strittigen Pferdeskulpturen und Leuchtkörper sind weder technisch erforderlich noch Folge der Bodenbeschaffenheit der Liegenschaft des Beschwerdeführers. Fraglich könnte höchstens erscheinen, wieweit ein gewisser Zusammenhang zur Nutzung des Grundstücks als Reiterhof besteht. Vor dem Verwaltungsgericht hatte der Beschwerdeführer dazu noch geltend gemacht, es handle sich um Schmuck des Pferdehofes. Eine betriebswirtschaftliche Erforderlichkeit ergibt sich daraus indessen nicht und eine solche wird auch nicht nachvollziehbar dargetan. Selbst wenn es einen minimalen entsprechenden Konnex (Werbewirkung oder äusserliche Kennzeichnung der Betriebsart) gäbe, stünden einer Ausnahmebewilligung jedenfalls angesichts der besonderen Schutzbedürftigkeit des Geländes aufgrund der Zuordnung in die Juraschutzzone überwiegende Interessen entgegen.</w:t>
      </w:r>
    </w:p>
    <w:p>
      <w:r>
        <w:rPr>
          <w:b/>
        </w:rPr>
        <w:t>E. 6.3</w:t>
      </w:r>
    </w:p>
    <w:p>
      <w:r>
        <w:t>Nachdem auch die übrigen Tatbestände einer Ausnahme nach Art. 24a bis 24d RPG nicht vorliegen, ist der Kanton nicht zur Erteilung einer Ausnahmebewilligung verpflichtet.</w:t>
      </w:r>
    </w:p>
    <w:p>
      <w:r>
        <w:rPr>
          <w:b/>
        </w:rPr>
        <w:t>E. 7.1</w:t>
      </w:r>
    </w:p>
    <w:p>
      <w:r>
        <w:t>Wie das Verwaltungsgericht zu Recht ausführt, bedeutet dies nicht, dass Kunst im Landwirtschaftsgebiet generell nicht bewilligungsfähig ist. Erforderlich wäre jedoch der Nachweis eines eigentlichen künstlerischen Konzepts sowie dessen Zusammenhanges mit dem berührten Raum. Ein solches Konzept liegt hier nicht vor. Vielmehr räumt der Beschwerdeführer selbst ein, es handle sich um gängige Skulpturen ohne besonderen künstlerischen Wert, die als Schmuck gedacht und je nach Grashöhe gar nicht oder kaum mehr sichtbar seien.</w:t>
      </w:r>
    </w:p>
    <w:p>
      <w:r>
        <w:rPr>
          <w:b/>
        </w:rPr>
        <w:t>E. 7.2</w:t>
      </w:r>
    </w:p>
    <w:p>
      <w:r>
        <w:t>Nicht zu prüfen ist hier, wie es sich baurechtlich verhielte, wenn der Beschwerdeführer eine einzige Pferdeskulptur, namentlich als eine Art Enseigne zur näheren Kennzeichnung des Reiterhofes, beim Betriebsgebäude und nicht irgendwo im Gelände, wie er dies offenbar immer noch beabsichtigt, aufstellen würde. Dies bildet, wie dargelegt (vgl. E. 2.2), nicht Streitgegenstand des vorliegenden Verfahrens.</w:t>
      </w:r>
    </w:p>
    <w:p>
      <w:r>
        <w:rPr>
          <w:b/>
        </w:rPr>
        <w:t>E. 7.3</w:t>
      </w:r>
    </w:p>
    <w:p>
      <w:r>
        <w:t>Ebenfalls nicht zu prüfen ist, ob die Beleuchtung des Zufahrtsweges ungenügend ist und daher eventuell eine entsprechende Zusatzbeleuchtung erforderlich sei, wie der Beschwerdeführer unter Berufung auch auf seine Mieterschaft geltend macht. Im vorliegenden Verfahren geht es einzig um das Gesamtvorhaben von Pferdeskulpturen und Beleuchtungskörpern im Gelände, das offensichtlich nicht in direktem Zusammenhang mit dem Zufahrtsweg und dessen Ausleuchtung steht. Wieweit eine spezifische und auf den Zufahrtsweg beschränkte zusätzliche Ausleuchtung desselben nötig und zulässig bzw. allenfalls bewilligungspflichtig ist, braucht hier nicht entschieden zu werden.</w:t>
      </w:r>
    </w:p>
    <w:p>
      <w:r>
        <w:rPr>
          <w:b/>
        </w:rPr>
        <w:t>E. 8</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