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526/2021 vom 22. September 2021</w:t>
      </w:r>
    </w:p>
    <w:p>
      <w:r>
        <w:t>Bundesgericht, 2021-09-22, DE</w:t>
      </w:r>
    </w:p>
    <w:p>
      <w:r>
        <w:rPr>
          <w:b/>
        </w:rPr>
        <w:t xml:space="preserve">Quelle: </w:t>
      </w:r>
      <w:r>
        <w:t>https://mcp.opencaselaw.ch/entscheid/bger_1C_526_2021</w:t>
      </w:r>
    </w:p>
    <w:p>
      <w:r>
        <w:t>FR: TF 1C 526/2021 du 22 septembre 2021</w:t>
      </w:r>
    </w:p>
    <w:p>
      <w:r>
        <w:t>IT: TF 1C 526/2021 del 22 settembre 2021</w:t>
      </w:r>
    </w:p>
    <w:p>
      <w:pPr>
        <w:pStyle w:val="Heading2"/>
      </w:pPr>
      <w:r>
        <w:t>Regeste</w:t>
      </w:r>
    </w:p>
    <w:p>
      <w:r>
        <w:t>Internationale Rechtshilfe in Strafsachen an Lettland;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Bei der Beantwortung der Frage, ob ein derartiger Fall gegeben ist, steht dem Bundesgericht ein weiter Ermessensspielraum zu. Gerade im Bereich der sogenannten "kleinen" (akzessorischen) Rechtshilfe kann ein besonders bedeutender Fall nur ausnahmsweise angenommen werden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ein Sachgebiet, bei dem die Beschwerde nach Art. 84 Abs. 1 BGG insoweit möglich ist. Entgegen der Auffassung der Beschwerdeführerin kann jedoch kein besonders bedeutender Fall angenommen werden.</w:t>
      </w:r>
    </w:p>
    <w:p>
      <w:r>
        <w:rPr>
          <w:b/>
        </w:rPr>
        <w:t>E. 1.3</w:t>
      </w:r>
    </w:p>
    <w:p>
      <w:r>
        <w:t>Die Beschwerdeführerin ist der Auffassung, das Bundesstrafgericht habe ihren Anspruch auf rechtliches Gehör verletzt. Es habe sich nicht mit den Vorbringen auseinandergesetzt, wonach die Gelder auf dem Konto einen nachweisbar wirtschaftlichen Ursprung hätten. Damit habe es seine Begründungspflicht verletzt. Zudem habe das Bundesstrafgericht auch nicht Stellung genommen, soweit sie mildere Massnahmen verlangt habe. Damit liege eine Verletzung eines elementaren Verfahrensgrundsatzes vor.</w:t>
      </w:r>
    </w:p>
    <w:p>
      <w:r>
        <w:rPr>
          <w:b/>
        </w:rPr>
        <w:t>E. 1.4</w:t>
      </w:r>
    </w:p>
    <w:p>
      <w:r>
        <w:t>Dieser Auffassung kann nicht gefolgt werden. Die aus dem Anspruch auf rechtliches Gehör ( Art. 29 Abs. 2 BV )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(vgl. BGE 146 II 335 E. 5.1 mit Hinweisen). Das Bundesstrafgericht hat sich vorliegend mit den wesentlichen Einwänden der Beschwerdeführerin auseinandergesetzt. Ihre Erwägungen, auf welche nach Art. 109 Abs. 3 BGG verwiesen werden kann, lassen keine Bundesrechtsverletzung erkennen. Dies gilt insbesondere, soweit das Bundesstrafgericht die Sachverhaltsschilderung der ersuchenden Behörde als genügend beurteilt und die Verhältnismässigkeit der Rechtshilfe bejaht hat (vgl. E. 4 S. 5 ff. des angefochtenen Entscheids). Das Bundesstrafgericht hat seinen Entscheid hinreichend begründet. Eine Verletzung des Anspruchs der Beschwerdeführerin auf rechtliches Gehör kann ihm insoweit nicht vorgeworfen werden. Auch sonstwie ist keine Verletzung des Anspruchs auf rechtliches Gehör erkennbar. Die vorinstanzlichen Erwägungen überzeugen. Dies gilt insbesondere, soweit das Bundesstrafgericht die Verhältnismässigkeit der Rechtshilfe bejaht und dabei namentlich das Vorbringen der Beschwerdeführerin, es handle sich um eine "fishing expedition", als unzutreffend beurteilt hat (vgl. E. 4.4 des angefochtenen Entscheids). Diese Erwägungen zum Verhältnismässigkeitsprinzip entsprechen der bundesgerichtlichen Rechtsprechung ( BGE 136 IV 82 E. 4.; 128 II 407 E. 6.3.1; Urteil 1C_594/2020 vom 2. November 2020 E. 2.2; je mit Hinweisen). Darauf kann verwiesen werden. Schliesslich kann der Beschwerdeführerin auch nicht gefolgt werden, soweit sie vorbringt, es mangle an der Voraussetzung der beidseitigen Strafbarkeit. Geldwäscherei gemäss Art. 305bis StGB bedinge eine Vortat. Es fehle vorliegend an Informationen, worin diese taugliche Vortat liegen solle. Es ist nicht zu beanstanden, dass das Bundesstrafgericht die doppelte Strafbarkeit der Geldwäscherei aufgrund der Sachverhaltsschilderungen der lettischen Behörden im Rechtshilfeersuchen (implizit) bejaht hat. Das Rechtshilfegericht beschränkt sich bei der Beurteilung der Strafbarkeit nach schweizerischem Recht auf eine Prüfung "prima facie" ( BGE 142 IV 250 E. 5.2; Urteil 1C_406/2017 vom 21. September 2017 E. 2.2; je mit Hinweisen). Die endgültige Beurteilung, ob die Transaktionen tatsächlich deliktischer Herkunft sind, wird, wie vom Bundesstrafgericht festgehalten (vgl. E. 4.4 des angefochtenen Entscheids), Gegenstand des lettischen Strafverfahrens sein. Darin liegt denn auch keine Verletzung des Rechts auf wirksame Beschwerde. Der angefochtene Entscheid überzeugt auch in dieser Hinsicht. Nach dem Gesagten ist keine Verletzung elementarer Verfahrensgrundsätze erkennbar und es ist auch sonst nicht ersichtlich, inwiefern ein besonders bedeutsamer Fall vorliegen sollte. Dies wird im Übrigen von der Beschwerdeführerin auch nicht dargetan (vgl. Art. 42 Abs. 2 BGG ). Für das Bundesgericht besteht deshalb kein Anlass, die Sache an die Hand zu nehmen.</w:t>
      </w:r>
    </w:p>
    <w:p>
      <w:r>
        <w:rPr>
          <w:b/>
        </w:rPr>
        <w:t>E. 2</w:t>
      </w:r>
    </w:p>
    <w:p>
      <w:r>
        <w:t>Auf die Beschwerde ist nicht einzutreten. Damit wird das Gesuch um aufschiebende Wirkung gegenstandslos. Der Beschwerde kommt im vorliegenden Fall ohnehin schon von Gesetzes wegen aufschiebende Wirkung zu ( Art. 103 Abs. 2 lit. c BGG ). 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