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526/2012 vom 24. Mai 2013</w:t>
      </w:r>
    </w:p>
    <w:p>
      <w:r>
        <w:t>Bundesgericht, 2013-05-24, DE</w:t>
      </w:r>
    </w:p>
    <w:p>
      <w:r>
        <w:rPr>
          <w:b/>
        </w:rPr>
        <w:t xml:space="preserve">Quelle: </w:t>
      </w:r>
      <w:r>
        <w:t>https://mcp.opencaselaw.ch/entscheid/bger_1C_526_2012</w:t>
      </w:r>
    </w:p>
    <w:p>
      <w:r>
        <w:t>FR: TF 1C 526/2012 du 24 mai 2013</w:t>
      </w:r>
    </w:p>
    <w:p>
      <w:r>
        <w:t>IT: TF 1C 526/2012 del 24 maggio 2013</w:t>
      </w:r>
    </w:p>
    <w:p>
      <w:pPr>
        <w:pStyle w:val="Heading2"/>
      </w:pPr>
      <w:r>
        <w:t>Regeste</w:t>
      </w:r>
    </w:p>
    <w:p>
      <w:r>
        <w:t>Führerausweisentzug | Strassenbau und Strassenverkehr</w:t>
      </w:r>
    </w:p>
    <w:p>
      <w:pPr>
        <w:pStyle w:val="Heading2"/>
      </w:pPr>
      <w:r>
        <w:t>Erwägungen</w:t>
      </w:r>
    </w:p>
    <w:p>
      <w:r>
        <w:rPr>
          <w:b/>
        </w:rPr>
        <w:t>E. 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 Das Bundesgericht wendet das Recht von Amtes wegen an (Art. 106Abs. 1 BGG).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Der Beschwerdeführer macht Folgendes geltend: "Mit der Aufhebung des Endentscheides" (gemeint: des am 5. September 2011 gegen ihn verfügten Sicherungsentzugs des Führerausweises) sei auch "der prozessleitende Zwischenentscheid" (gemeint: der am 5. September 2007 verfügte vorsorgliche Sicherungsentzug) "ex tunc aufgehoben" worden. Die Streitsache sei "so zu betrachten, als wäre der vorsorgliche Entzug nicht geschehen". Daher sei der am 8. Februar 2012 (als Folge der am 31. Januar 2010 verübten Widerhandlung gegen den vorsorglichen Sicherungsentzug) verfügte Warnungsentzug als bundesrechtswidrig aufzuheben.</w:t>
      </w:r>
    </w:p>
    <w:p>
      <w:r>
        <w:rPr>
          <w:b/>
        </w:rPr>
        <w:t>E. 3</w:t>
      </w:r>
    </w:p>
    <w:p>
      <w:r>
        <w:t>Führerausweise sind zu entziehen, wenn festgestellt wird, dass die gesetzlichen Voraussetzungen zur Erteilung nicht oder nicht mehr bestehen ( Art. 16 Abs. 1 SVG ). Bestehen Bedenken über die Fahreignung des Führers, ist er einer neuen amtlichen Prüfung zu unterwerfen ( Art. 14 Abs. 3 SVG ). Der Führerausweis wird einer Person auf unbestimmte Zeit entzogen, wenn ihre körperliche und geistige Leistungsfähigkeit nicht oder nicht mehr ausreicht, ein Motorfahrzeug sicher zu führen, oder wenn sie aufgrund ihres bisherigen Verhaltens nicht Gewähr bietet, dass sie künftig beim Führen eines Motorfahrzeuges die Vorschriften beachten und auf die Mitmenschen Rücksicht nehmen wird ( Art. 16d Abs. 1 lit. a und lit. c SVG ). Tritt der Sicherungsentzug nach Art. 16d Abs. 1 SVG an die Stelle eines Warnungsentzugs nach den Artikeln 16a-c SVG, wird damit eine Sperrfrist verbunden, die bis zum Ablauf der für die begangene Widerhandlung vorgesehenen Mindestentzugsdauer läuft. Der Führerausweis kann (bereits vor dem Abschluss eines Administrativverfahrens betreffend Sicherungsentzug) vorsorglich entzogen werden, wenn ernsthafte Bedenken an der Fahreignung bestehen ( Art. 30 VZV [SR 741.51]). Eine schwere SVG-Widerhandlung begeht, wer ein Motorfahrzeug trotz Ausweisentzug führt ( Art. 16c Abs. 1 lit. f SVG ); als Administrativmassnahme wird gegen den fehlbaren Lenker ein Warnungsentzug verfügt, der (von hier nicht gegebenen Ausnahmefällen abgesehen) mindestens drei Monate beträgt ( Art. 16c Abs. 2 lit. a SVG ).</w:t>
      </w:r>
    </w:p>
    <w:p>
      <w:r>
        <w:rPr>
          <w:b/>
        </w:rPr>
        <w:t>E. 4</w:t>
      </w:r>
    </w:p>
    <w:p>
      <w:r>
        <w:t>Der Beschwerdeführer bestreitet nicht, dass der am 5. September 2007 gegen ihn verfügte vorsorgliche Sicherungsentzug des Führerausweises in Rechtskraft erwachsen ist, nachdem die Rekurskommission am 24. September 2007 seine dagegen erhobene Beschwerde abgewiesen hatte. Ebenso wenig bestreitet er, dass er am 31. Januar 2010 trotzdem ein Motorfahrzeug gelenkt hat und deswegen vom Regionalgericht Bern-Mittelland (am 30. Juni 2011) rechtskräftig schuldig gesprochen wurde. Zwar wurde der (am 5. September 2011) im separaten administrativen Hauptverfahren gegen den Beschwerdeführer verfügte Sicherungsentzug (am 11. Januar 2012) im Rekursverfahren aufgehoben. Entgegen seiner Ansicht ist der für die Dauer des Sicherungsentzugsverfahrens verfügte vorsorgliche Entzug des Führerausweises damit aber nicht als "nicht geschehen" zu betrachten: Der vorsorgliche Sicherungsentzug soll gewährleisten, dass mutmasslich nicht (mehr) fahrgeeignete Personen bis zur rechtskräftigen Abklärung der Fahreignung nicht am motorisierten Strassenverkehr teilnehmen. Dieser gesetzliche Zweck würde vollständig unterlaufen, wenn der vom vorsorglichen Führerausweisentzug Betroffene diese vorläufige Sicherungsmassnahme (in der blossen Hoffnung auf einen günstigen Ausgang des hängigen Hauptverfahrens) folgenlos missachten könnte. In der Entzugsverfügung vom 5. September 2007 wurde denn auch ausdrücklich erwähnt, dass dem Beschwerdeführer das Führen von Motorfahrzeugen "bis zur Abklärung" seiner "Fahreignung" untersagt werde. Ausserdem wurde er auf die straf- und administrativrechtlichen Folgen einer allfälligen Missachtung des vorsorglichen Sicherungsentzuges hingewiesen. Nach dem Gesagten war der vorsorgliche Führerausweisentzug im Tatzeitpunkt verbindlich und zog dessen Missachtung die (in der Entzugsverfügung angedrohten) gesetzlichen Folgen (Art. 16c Abs. 1 lit. f und Abs. 2 lit. a SVG) nach sich. Der von den kantonalen Instanzen verfügte Warnungsentzug des Führerausweises hält vor dem Bundesrecht stand.</w:t>
      </w:r>
    </w:p>
    <w:p>
      <w:r>
        <w:rPr>
          <w:b/>
        </w:rPr>
        <w:t>E. 5</w:t>
      </w:r>
    </w:p>
    <w:p>
      <w:r>
        <w:t>Die Beschwerde ist abzuweisen.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