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1C_526/2009 vom 25. März 2010</w:t>
      </w:r>
    </w:p>
    <w:p>
      <w:r>
        <w:t>Bundesgericht, 2010-03-25, FR</w:t>
      </w:r>
    </w:p>
    <w:p>
      <w:r>
        <w:rPr>
          <w:b/>
        </w:rPr>
        <w:t xml:space="preserve">Quelle: </w:t>
      </w:r>
      <w:r>
        <w:t>https://mcp.opencaselaw.ch/entscheid/bger_1C_526_2009</w:t>
      </w:r>
    </w:p>
    <w:p>
      <w:r>
        <w:t>FR: TF 1C_526/2009 du 25 mars 2010</w:t>
      </w:r>
    </w:p>
    <w:p>
      <w:r>
        <w:t>IT: TF 1C_526/2009 del 25 marzo 2010</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d'un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ne conteste pas avoir commis un excès de vitesse de 33 km/h. Il estime que la preuve de cet excès de vitesse aurait été recueillie de manière déloyale et que l'infraction aurait été "l'objet d'une véritable embuscade, puisque le conducteur ne pouvait à la fois respecter l'injonction de faire usage du frein moteur, et le signal limitant la vitesse à 80 km/h, placé trop près à la suite de la limitation fixée à 100 km/h". Il se plaint d'une violation de l' art. 6 CEDH .</w:t>
      </w:r>
    </w:p>
    <w:p>
      <w:r>
        <w:t>Partant, le recourant ne prétend pas que les panneaux de limitation de la vitesse étaient masqués. Son raisonnement fait donc abstraction de la signalisation routière mise en place et remet en cause les limitations de vitesse fixées par l'autorité compétente. Or, ainsi que l'a relevé l'instance précédente, les signaux de limitation de vitesse sont juridiquement valables lorsqu'ils ont été placés à la suite d'une décision et d'une publication conformes de l'autorité compétente, visiblement exprimées sous la forme de la signalisation concrète ( ATF 126 II 196 consid. 2b p. 200 et les arrêts cités). Dans ces conditions, le recourant ne peut se prévaloir du fait que la preuve de son excès de vitesse aurait été obtenue de manière illicite. A cet égard, l'arrêt de la Cour européenne des droits de l'homme, cité par le recourant, n'est pas pertinent puisqu'il traite d'un cas fort différent, à savoir celui d'une personne qui a été incitée par des policiers, habillés en civil, à commettre une infraction dont elle a par la suite été reconnue coupable. Le grief tombe donc à faux.</w:t>
      </w:r>
    </w:p>
    <w:p>
      <w:r>
        <w:rPr>
          <w:b/>
        </w:rPr>
        <w:t>E. 3</w:t>
      </w:r>
    </w:p>
    <w:p>
      <w:r>
        <w:t>Le recourant considère ensuite que, compte tenu des conditions de visibilité et de trafic favorables, de la mise en danger légère et du fait qu'il a respecté les consignes de sécurité en utilisant le frein moteur, une infraction moyennement grave ne saurait être retenue et seul un avertissement aurait dû être prononcé à son encontre.</w:t>
      </w:r>
    </w:p>
    <w:p>
      <w:r>
        <w:rPr>
          <w:b/>
        </w:rPr>
        <w:t>E. 3.1</w:t>
      </w:r>
    </w:p>
    <w:p>
      <w:r>
        <w:t>La LCR distingue les infractions légères, moyennement graves et graves (art. 16a-c LCR). Commet une infraction moyennement grave selon l' art. 16b al. 1 let. a LCR la personne qui, en violant les règles de la circulation, crée un danger pour la sécurité d'autrui ou en prend le risque. Conformément à l' art. 16b al. 2 let. a LCR , le permis d'élève-conducteur ou le permis de conduire est retiré pour un mois au minimum après une infraction moyennement grave.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3.2 p. 238; 124 II 259 consid. 2b p. 262). Il est en revanche de moyenne gravité lorsque le dépassement de la vitesse autorisée est, respectivement, de 21 à 24 km/h ( ATF 126 II 196 consid. 2a p. 199), de 26 à 29 km/h et de 31 à 34 km/h ( ATF 128 II 131 consid. 2a p. 132). Un arrêt récent a confirmé ce système de seuils schématiques arrêtés par la jurisprudence en matière d'excès de vitesse (arrêt 1C_83/2008 du 16 octobre 2008 consid. 2).</w:t>
      </w:r>
    </w:p>
    <w:p>
      <w:r>
        <w:t>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 ATF 126 II 196 consid. 2a p. 199; 124 II 97 consid.2c p. 101; 123 II 37 consid. 1f p. 41). L'autorité pourra également renoncer au retrait du permis de conduire en présence de circonstances analogues à celles qui justifient de renoncer à une peine en application de l' art. 54 CP (arrêts 1C_585/2008 du 14 mai 2009 consid. 2.1; 1C_303/2007 du 15 mai 2008 consid. 8.1; 6A.103/2002 du 27 janvier 2003 consid. 2.2 in SJ 2003 I p. 287; ATF 128 II 86 consid. 2c p. 88; 126 II 196 consid. 2c p. 200) ou encore des art. 17 ss CP (arrêt 1C_4/2007 du 4 septembre 2007 consid. 2.2). La règle de l' art. 16 al. 3 LCR ,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135 II 334 consid. 2.2 p. 336; 132 II 234 consid. 2.3 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 ATF 135 II 334 consid. 2.2 p. 336 et les arrêts cités).</w:t>
      </w:r>
    </w:p>
    <w:p>
      <w:r>
        <w:rPr>
          <w:b/>
        </w:rPr>
        <w:t>E. 3.2</w:t>
      </w:r>
    </w:p>
    <w:p>
      <w:r>
        <w:t>En l'occurrence, le recourant a commis un excès de vitesse de 33 km/h sur l'autoroute. Le dépassement de vitesse constaté constitue objectivement un cas moyennement grave au sens de l' art. 16b al. 1 let. a LCR , impliquant un retrait du permis de conduire pour une durée minimale d'un mois. Les circonstances invoquées par le recourant (configuration particulière de la route, circonstances entourant la constatation du dépassement de vitesse, absence d'antécédents en matière de circulation routière, bonnes conditions de circulation et mise en danger légère) ne sont pas de celles qui permettraient de s'écarter exceptionnellement du minimum légal au regard de l' art. 16 al. 3 LCR et de considérer le cas comme étant de gravité légère au sens de la jurisprudence précitée. Ce grief doit par conséquent être rejeté.</w:t>
      </w:r>
    </w:p>
    <w:p>
      <w:r>
        <w:rPr>
          <w:b/>
        </w:rPr>
        <w:t>E. 4</w:t>
      </w:r>
    </w:p>
    <w:p>
      <w:r>
        <w:t>Le recourant considère enfin que l'écoulement du temps depuis la perpétration de l'infraction justifie une réduction, voire une suppression de la sanction en application de l'art. 48 lit. e CP, lequel prévoit que si l'intérêt à punir a sensiblement diminué en raison du temps écoulé depuis l'infraction et que l'auteur s'est bien comporté dans l'intervalle, le juge atténue la peine.</w:t>
      </w:r>
    </w:p>
    <w:p>
      <w:r>
        <w:t>En l'espèce, la durée de la procédure n'apparaît d'emblée pas excessive, le temps écoulé entre la commission de l'infraction et la décision administrative de dernière instance cantonale étant de 22 mois. Quoi qu'il en soit, ce grief doit être écarté, dans la mesure où la jurisprudence a précisé que la durée minimale du retrait du permis de conduire ne pouvait pas être abaissée, même en cas de violation du droit d'être jugé dans un délai raisonnable ( ATF 135 II 334 consid. 2.2 p. 336 s.). Or en l'occurrence, le retrait du permis de conduire est limité à la durée légale minimale d'un mois.</w:t>
      </w:r>
    </w:p>
    <w:p>
      <w:r>
        <w:rPr>
          <w:b/>
        </w:rPr>
        <w:t>E. 5</w:t>
      </w:r>
    </w:p>
    <w:p>
      <w:r>
        <w:t>Il s'ensuit que le recours est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