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525/2020 vom 22. Oktober 2021</w:t>
      </w:r>
    </w:p>
    <w:p>
      <w:r>
        <w:t>Bundesgericht, 2021-10-22, FR</w:t>
      </w:r>
    </w:p>
    <w:p>
      <w:r>
        <w:rPr>
          <w:b/>
        </w:rPr>
        <w:t xml:space="preserve">Quelle: </w:t>
      </w:r>
      <w:r>
        <w:t>https://mcp.opencaselaw.ch/entscheid/bger_1C_525_2020</w:t>
      </w:r>
    </w:p>
    <w:p>
      <w:r>
        <w:t>FR: TF 1C 525/2020 du 22 octobre 2021</w:t>
      </w:r>
    </w:p>
    <w:p>
      <w:r>
        <w:t>IT: TF 1C 525/2020 del 22 ottobre 2021</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le recourant a la qualité pour recourir au sens de l' art. 89 al. 1 LTF et les conditions formelles de recevabilité sont remplies, de sorte qu'il y a lieu d'entrer en matière.</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les faits déterminants pour l'annulation de la naturalisation facilitée se sont déroulés sous l'empire de l'ancien droit. De plus, la procédure d'annulation a été introduite par le SEM avant le 1er janvier 2018, de sorte qu'il y a lieu d'appliquer l'aLN, même si l'annulation a été prononcée après cette date (cf. arrêt 1C_104/2021 du 7 juillet 2021 consid. 1 et les réf. cités).</w:t>
      </w:r>
    </w:p>
    <w:p>
      <w:r>
        <w:rPr>
          <w:b/>
        </w:rPr>
        <w:t>E. 3</w:t>
      </w:r>
    </w:p>
    <w:p>
      <w:r>
        <w:t>Invoquant l' art. 97 al. 1 LTF , le recourant se plaint d'une constatation manifestement inexacte des faits.</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A défaut, il n'est pas possible de tenir compte d'un état de fait divergent de celui qui est contenu dans l'arrêt attaqué ( ATF 143 V 19 consid. 2.2; 141 IV 416 consid. 4). En particulier, le Tribunal fédéral n'entre pas en matière sur des critiques appellatoires concernant l'établissement des faits ou l'appréciation des preuves opérés par l'autorité précédente ( ATF 137 II 353 consid. 5.1; cf. aussi ATF 140 III 264 consid. 2.3).</w:t>
      </w:r>
    </w:p>
    <w:p>
      <w:r>
        <w:rPr>
          <w:b/>
        </w:rPr>
        <w:t>E. 3.2</w:t>
      </w:r>
    </w:p>
    <w:p>
      <w:r>
        <w:t>Le recourant reproche tout d'abord au Tribunal administratif fédéral d'avoir retenu que la séparation définitive des époux était intervenue le 30 août 2016 et d'avoir ainsi considéré que 18 mois s'étaient écoulés entre la signature de la déclaration de vie commune et la séparation du couple. Il conviendrait, selon le recourant, de retenir au plus tôt, pour la séparation du couple, la date du 24 septembre 2016 qui correspond à la date de signature de la convention de divorce, et non pas le 30 août 2016. Le recourant ne démontre cependant pas, et on ne voit pas d'emblée, en quoi une modification de l'état de faits sur ce point serait susceptible d'influer sur le sort de la cause. En effet, même si l'on suivait le raisonnement du recourant, le laps de temps écoulé entre la séparation des époux et l'octroi de la naturalisation facilitée - qui serait alors de 19 mois, et non pas de 18 mois - permettrait encore de retenir la présomption que celle-ci avait été obtenue frauduleusement (cf. ci-dessous consid. 4.2). Le recourant fait ensuite grief à l'instance précédente d'avoir omis de mentionner qu'il avait déjà invoqué, dans son mémoire de recours du 27 mai 2019, la rechute de son ex-épouse dans l'alcoolisme comme explication de la rapide dégradation du lien conjugal. Certes l'état de fait de l'arrêt entrepris n'expose pas en détail tous les allégués du recourant. Cependant, l'instance précédente s'est déterminée sur cet élément et a considéré qu'il était peu convaincant que le seul fait que son épouse " replonge dans l'alcool " puisse constituer un événement extraordinaire pouvant entraîner en trois ou quatre mois la séparation définitive des époux, suivie immédiatement de la rédaction d'une convention de divorce (cf. consid. 8.3 arrêt entrepris). En réalité, le recourant ne conteste pas l'établissement des faits en tant que tel mais plutôt leur appréciation juridique. Il s'agit ainsi d'une question de droit qui sera examinée avec le fond (voir ci-dessous consid. 4.3). Le recourant critique l'arrêt litigieux en tant qu'il n'expose pas que son ex-épouse souffrait de bipolarité au moins depuis 2003, mais seulement d'avoir exposé qu'elle était au bénéfice d'une demi-rente d'invalidité. En l'espèce, le recourant se contente d'énoncer ce fait, dans un style purement appellatoire, sans entreprendre de démontrer le caractère arbitraire de l'état de fait retenu par l'instance précédente. Il ne cherche en particulier pas à démontrer, à l'appui de sa critique des faits, en quoi la maladie de son ex-épouse serait déterminant pour l'issue du lit ige. Au demeurant, pour les motifs exposés ci-dessous, cet élément n'est pas décisif (cf. ci-dessous 4.3).</w:t>
      </w:r>
    </w:p>
    <w:p>
      <w:r>
        <w:rPr>
          <w:b/>
        </w:rPr>
        <w:t>E. 3.3</w:t>
      </w:r>
    </w:p>
    <w:p>
      <w:r>
        <w:t>Le grief de constatation manifestement inexacte des faits soulevé par le recourant est donc rejeté dans la mesure de sa recevabilité.</w:t>
      </w:r>
    </w:p>
    <w:p>
      <w:r>
        <w:rPr>
          <w:b/>
        </w:rPr>
        <w:t>E. 4</w:t>
      </w:r>
    </w:p>
    <w:p>
      <w:r>
        <w:t>Le recourant invoque ensuite une violation de l'art. 41 al. 1 aLN et conteste avoir obtenu la naturalisation par des déclarations mensongères.</w:t>
      </w:r>
    </w:p>
    <w:p>
      <w:r>
        <w:rPr>
          <w:b/>
        </w:rPr>
        <w:t>E. 4.1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Le comportement déloyal et trompeur du requérant doit ainsi porter sur l'allégation de faits mensongers ou la dissimulation de faits décisifs pour décider de l'octroi de la naturalisation facilitée.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D'après la jurisprudence, la notion de communauté conjugale visée à l' art. 27 al. 1 let . c aLN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 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130 II 482 consid. 3.2).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132 II 113 consid. 3.2), mais encore de son propre intérêt ( ATF 130 II 482 consid. 3.2). Par enchaînement rapide des événements, la jurisprudence entend une période de plusieurs mois, voire d'une année, mais ne dépassant pas deux ans (arrêts 1C_618/2020 du 19 mai 2021 consid. 3.1; 1C_80/2019 du 2 mai 2019 consid. 4.2). S'agissant d'une présomption de fait, qui ressortit à l'appréciation des preuves et ne modifie pas le fardeau de la preuve (cf. ATF 135 II 161 consid. 3),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4.2</w:t>
      </w:r>
    </w:p>
    <w:p>
      <w:r>
        <w:t>En l'espèce, le Tribunal administratif fédéral a considéré que le laps de temps de dix-huit mois entre la signature de la déclaration de vie commune (le 20 mars 2015), et la séparation définitive des époux (30 août 2016), concrétisée par la signature de leur convention de divorce (le 24 septembre 2016) était de nature à fonder la présomption de fait selon laquelle, au moment de la signature de la déclaration commune, la communauté conjugale des époux n'était plus stable et orientée vers l'avenir. Quoi qu'en pense le recourant, l'enchaînement chronologique des événement, en particulier le temps écoulé - moins de deux ans - entre la séparation des époux, respectivement la requête commune en divorce, et l'octroi de la naturalisation facilitée pouvait encore, au vu de la jurisprudence, fonder la présomption que celle-ci avait été obtenue frauduleusement (cf. arrêt 1C_24/2020 du 24 juillet 2020 consid. 3.3 et les arrêts cités).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4.3</w:t>
      </w:r>
    </w:p>
    <w:p>
      <w:r>
        <w:t>Pour renverser cette présomption, le recourant soutient qu'il formait une union conjugale stable et effective au moment de la naturalisation. Il explique que la rechute de son ex-épouse dans l'alcool, amplifiée par les problèmes de bipolarité, constitue l'élément extraordinaire expliquant la détérioration rapide du lien conjugal. Les explications du recourant ne sont toutefois pas convaincantes et ne permettent pas de renverser la présomption établie. En effet, ce n'est que devant l'instance précédente que le recourant a brièvement invoqué le fait que son ex-épouse se serait remise à boire de l'alcool pour expliquer la dégradation rapide du lien conjugal. Il ne donne par ailleurs aucun détail à ce sujet dans les écritures qu'il a déposées devant l'instance précédente, se contentant de se référer à un témoignage écrit et à un message Whatsapp du 21 mai 2016 de la fille de son ex-épouse. A cet égard, l'instance précédente peut être suivie lorsqu'elle considère qu'il est peu plausible, s'agissant d'un couple totalisant alors plus de dix ans de vie commune, que le seul fait que l'épouse " replonge dans l'alcool " puisse constituer un événement extraordinaire pouvant entraîner en trois ou quatre mois la séparation définitive des époux, suivie immédiatement de la rédaction d'une convention de divorce signée le 24 septembre 2016. Le recourant ne démontre par ailleurs pas qu'il aurait tenté d'une manière ou d'une autre de sauver son couple; le fait qu'il ait aussi rapidement et facilement accepté l'idée d'une séparation définitive et que, environ, deux mois après son divorce, il se soit remarié (le 10 avril 2017) avec une compatriote qui lui a très rapidement donné un enfant (né le 1er janvier 2018), tend à confirmer que le lien conjugal ne présentait pas la stabilité requise au moment déterminant et qu'il est peu plausible que le recourant l'ignorait. Celui-ci n'apporte au demeurant aucun élément permettant de contredire cette dernière appréciation. Il importe peu en l'occurrence que l'ex-épouse ait pris l'initiative de la séparation. Quant à la maladie de cette dernière (trouble bipolaire), le recourant ne l'invoque, en tant que cause de la détérioration rapide du lien conjugal, qu'au stade du présent recours et ne donne à nouveau aucun détail à ce sujet. Cela étant, dans la mesure où la maladie était connue du recourant avant l'introduction de la demande de naturalisation, elle ne saurait être retenue comme un événement extraordinaire postérieur à la naturalisation permettant de renverser la présomption établie. Enfin, le fait que le recourant aurait pu formuler sa demande de naturalisation en 2011 déjà et qu'il est également ressortissant italien n'est pas pertinent pour l'examen de la question de savoir s'il y a eu obtention frauduleuse de la naturalisation au sens de l'art. 41 aLN.</w:t>
      </w:r>
    </w:p>
    <w:p>
      <w:r>
        <w:rPr>
          <w:b/>
        </w:rPr>
        <w:t>E. 4.4</w:t>
      </w:r>
    </w:p>
    <w:p>
      <w:r>
        <w:t>Par conséquent, les conditions d'application de l'art. 41 aLN sont réunies et le Tribunal administratif fédéral n'a pas violé le droit fédéral en confirmant l'annulation de la naturalisation facilitée qui avait été octroyée au recourant, ainsi que celle de la nationalité accordée à son enfant (art. 41 al. 3 aLN).</w:t>
      </w:r>
    </w:p>
    <w:p>
      <w:r>
        <w:rPr>
          <w:b/>
        </w:rPr>
        <w:t>E. 5</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