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1C_525/2008 vom 28. November 2008</w:t>
      </w:r>
    </w:p>
    <w:p>
      <w:r>
        <w:t>Bundesgericht, 2008-11-28, FR</w:t>
      </w:r>
    </w:p>
    <w:p>
      <w:r>
        <w:rPr>
          <w:b/>
        </w:rPr>
        <w:t xml:space="preserve">Quelle: </w:t>
      </w:r>
      <w:r>
        <w:t>https://mcp.opencaselaw.ch/entscheid/bger_1C_525_2008</w:t>
      </w:r>
    </w:p>
    <w:p>
      <w:r>
        <w:t>FR: TF 1C_525/2008 du 28 novembre 2008</w:t>
      </w:r>
    </w:p>
    <w:p>
      <w:r>
        <w:t>IT: TF 1C_525/2008 del 28 novembre 2008</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Selon cette disposition, le recours est recevable, à l'encontre d'un arrêt du Tribunal pénal fédéral en matière d'entraide judiciaire internationale, notamment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C'est au recourant qu'il appartient de démontrer que ces conditions sont réunies ( art. 42 al. 2 LTF ).</w:t>
      </w:r>
    </w:p>
    <w:p>
      <w:r>
        <w:rPr>
          <w:b/>
        </w:rPr>
        <w:t>E. 1.2</w:t>
      </w:r>
    </w:p>
    <w:p>
      <w:r>
        <w:t>En l'occurrence, la décision de clôture porte bien sur la transmission de documents concernant le domaine secret. Compte tenu des faits à l'origine de la demande et de la nature de la transmission envisagée (documents relatifs à un seul compte bancaire), le cas ne revêt pas d'importance particulière; il n'est pas prétendu que la procédure pénale étrangère présenterait des défauts graves au sens de l' art. 84 al. 2 LTF , dont il convient de rappeler que le but est de limiter fortement l'accès au Tribunal fédéral dans le domaine de l'entraide judiciaire, en ne permettant de recourir que dans un nombre limité de cas jugés particulièrement importants ( ATF 133 IV 125 , 129, 131, 132).</w:t>
      </w:r>
    </w:p>
    <w:p>
      <w:r>
        <w:rPr>
          <w:b/>
        </w:rPr>
        <w:t>E. 1.3</w:t>
      </w:r>
    </w:p>
    <w:p>
      <w:r>
        <w:t>La recourante estime que le cas serait particulièrement important, car elle s'est vue privée du droit de participer au tri des documents avant le prononcé de l'ordonnance de clôture, de s'opposer à une transmission en bloc et de contester la pertinence des documents transmis. Elle ne nie toutefois pas que la version de la demande d'entraide qui lui a été finalement remise était suffisante pour comprendre les motifs et l'objet de l'entraide requise, ainsi que pour remettre en cause efficacement la pertinence des renseignements transmis. Elle ne conteste pas non plus qu'elle connaissait - ou pouvait connaître - la teneur de la documentation bancaire; il y a donc lieu d'admettre que la procédure de recours a permis de réparer la violation du droit d'être entendu commise par l'autorité d'exécution. La guérison opérée par le TPF est conforme sur ce point à la pratique constante; tout en soulignant l'importance de la procédure de tri à laquelle doit en principe être associée la personne concernée ( ATF 130 II 14 consid. 4.3 p. 16/17; 126 II 258 ), la jurisprudence reconnaît en effet que les irrégularités commises à ce propos peuvent être réparées en instance de recours dans la mesure où l'intéressé est mis en mesure de faire valoir, de manière concrète et effective, ses objections à la transmission des pièces visées dans la décision de clôture (arrêt 1A.54/2004 du 30 avril 2004). Tel a bien été le cas en l'occurrence. L'intervention d'une seconde instance de recours ne se justifie donc pas non plus de ce point de vue.</w:t>
      </w:r>
    </w:p>
    <w:p>
      <w:r>
        <w:rPr>
          <w:b/>
        </w:rPr>
        <w:t>E. 2</w:t>
      </w:r>
    </w:p>
    <w:p>
      <w:r>
        <w:t>Le recours doit par conséquent être déclaré irrecevable,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