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1C_524/2021 vom 1. November 2022</w:t>
      </w:r>
    </w:p>
    <w:p>
      <w:r>
        <w:t>Bundesgericht, 2022-11-01, DE</w:t>
      </w:r>
    </w:p>
    <w:p>
      <w:r>
        <w:rPr>
          <w:b/>
        </w:rPr>
        <w:t xml:space="preserve">Quelle: </w:t>
      </w:r>
      <w:r>
        <w:t>https://mcp.opencaselaw.ch/entscheid/bger_1C_524_2021</w:t>
      </w:r>
    </w:p>
    <w:p>
      <w:r>
        <w:t>FR: TF 1C_524/2021 du 1 novembre 2022</w:t>
      </w:r>
    </w:p>
    <w:p>
      <w:r>
        <w:t>IT: TF 1C_524/2021 del 1 novembre 2022</w:t>
      </w:r>
    </w:p>
    <w:p>
      <w:pPr>
        <w:pStyle w:val="Heading2"/>
      </w:pPr>
      <w:r>
        <w:t>Erwägungen</w:t>
      </w:r>
    </w:p>
    <w:p>
      <w:r>
        <w:rPr>
          <w:b/>
        </w:rPr>
        <w:t>E. 1</w:t>
      </w:r>
    </w:p>
    <w:p>
      <w:r>
        <w:t>Die beiden im Wesentlichen gleichlautenden Beschwerden richten sich gegen zwei praktisch identische Entscheide des Verwaltungsgerichts. Sie hängen inhaltlich eng zusammen. Es rechtfertigt sich, die Verfahren zu vereinigen und die Sache in einem einzigen Urteil zu behandeln.</w:t>
      </w:r>
    </w:p>
    <w:p>
      <w:r>
        <w:rPr>
          <w:b/>
        </w:rPr>
        <w:t>E. 2.1</w:t>
      </w:r>
    </w:p>
    <w:p>
      <w:r>
        <w:t>Angefochten ist ein kantonal letztinstanzlicher Entscheid des Verwaltungsgerichts in einer öffentlich-rechtlichen Angelegenheit ( Art. 82 lit. a und Art. 86 Abs. 1 lit. d BGG ). Unzulässig ist jedoch der Antrag, auch den Entscheid des DBU teilweise aufzuheben. Dieser ist durch den Entscheid des Verwaltungsgerichts ersetzt worden (Devolutiveffekt) und gilt als inhaltlich mitangefochten ( BGE 136 II 539 E. 1.2; 134 II 142 E. 1.4; je mit Hinweis). Die Beschwerdeführer sind als Eigentümer der Parzellen, die gemäss dem vorinstanzlichen Entscheid nicht einer Bauzone zugewiesen werden dürfen, nach Art. 89 Abs. 1 BGG zur Beschwerde berechtigt.</w:t>
      </w:r>
    </w:p>
    <w:p>
      <w:r>
        <w:rPr>
          <w:b/>
        </w:rPr>
        <w:t>E. 2.2</w:t>
      </w:r>
    </w:p>
    <w:p>
      <w:r>
        <w:t>Näher zu prüfen ist, ob ein nach Art. 90 ff. BGG anfechtbarer Entscheid vorliegt. Das DBU verweigerte dem kommunalen Zonenplan in Bezug auf die Parzellen Nrn. 661 und 684 die Genehmigung und wies die Gemeinde an, die beiden Parzellen einer geeigneten Nichtbauzone zuzuordnen. Beim Entscheid des Verwaltungsgerichts, der den Entscheid des DBU insoweit bestätigt, handelt es sich vor diesem Hintergrund um einen Rückweisungsentscheid. Rückweisungsentscheide sind nach der bundesgerichtlichen Rechtsprechung grundsätzlich Zwischenentscheide, es sei denn, der unteren Instanz, an die zurückgewiesen wird, verbleibe keinerlei Entscheidungsspielraum mehr ( BGE 134 II 124 E. 1.3 mit Hinweisen). Da für die Gemeinde hinsichtlich der Art der Nichtbauzone noch ein Ermessensspielraum besteht, handelt es sich um einen Zwischenentscheid (vgl. Urteil 1C_205/2016 vom 10. November 2016 E. 4.6 1).</w:t>
      </w:r>
    </w:p>
    <w:p>
      <w:r>
        <w:rPr>
          <w:b/>
        </w:rPr>
        <w:t>E. 2.3</w:t>
      </w:r>
    </w:p>
    <w:p>
      <w:r>
        <w:t>Gegen selbstständig eröffnete Zwischenentscheide, mit denen weder über die Zuständigkeit noch über Ausstandsbegehren entschieden wird (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Der nicht wieder gutzumachende Nachteil im Sinne von Art. 93 Abs. 1 lit. a BGG muss ein Nachteil rechtlicher Natur sein, der auch durch einen späteren günstigen Endentscheid nicht oder nicht gänzlich beseitigt werden kann. Rein tatsächliche Nachteile wie die Verfahrensverlängerung oder -verteuerung reichen nicht aus ( BGE 144 III 475 E. 1.2 mit Hinweisen; vgl. auch BGE 135 II 30 E. 1.3.4 zu einer hier nicht erfüllten Voraussetzung, unter der ausnahmsweise ein tatsächlicher Nachteil genügt).</w:t>
      </w:r>
    </w:p>
    <w:p>
      <w:r>
        <w:t>Die selbstständige Anfechtbarkeit von Zwischenentscheiden bildet aus prozessökonomischen Gründen eine Ausnahme vom Grundsatz, dass sich das Bundesgericht mit jeder Angelegenheit nur einmal befassen soll. Diese Ausnahme ist restriktiv zu handhaben ( BGE 144 III 475 E. 1.2). Dabei obliegt es der beschwerdeführenden Partei darzutun, dass die Voraussetzungen für eine ausnahmsweise Anfechtbarkeit eines Zwischenentscheids erfüllt sind, soweit deren Vorliegen nicht offensichtlich ist ( BGE 142 V 26 E. 1.2).</w:t>
      </w:r>
    </w:p>
    <w:p>
      <w:r>
        <w:rPr>
          <w:b/>
        </w:rPr>
        <w:t>E. 2.4</w:t>
      </w:r>
    </w:p>
    <w:p>
      <w:r>
        <w:t>Dass durch eine Gutheissung der Beschwerde ein bedeutender Aufwand an Zeit oder Kosten für ein weitläufiges Beweisverfahren erspart werden würde, machen die Beschwerdeführer nicht geltend und ist auch nicht erkennbar. Konkret in Betracht fällt damit einzig Art. 93 Abs. 1 lit. a BGG .</w:t>
      </w:r>
    </w:p>
    <w:p>
      <w:r>
        <w:t>Nach der Rechtsprechung liegt bei einem Rückweisungsentscheid, welcher der Gemeinde Vorgaben für das weitere planerische Vorgehen macht, für diese ein nicht wieder gutzumachender Nachteil im Sinne von Art. 93 Abs. 1 lit. a BGG vor ( BGE 133 II 409 E. 1.2 S. 412; Urteil 1C_100/2020 vom 28. Juni 2021; je mit Hinweisen). Im vorliegenden Fall führt allerdings nicht die Gemeinde Beschwerde, sondern von der Nutzungsplanung betroffene Grundeigentümer. Diese bringen zwar vor, sie würden davon ausgehen, dass ein nicht wieder gutzumachender Nachteil drohe, legen jedoch nicht dar, worin dieser bestehen soll. Dies ist auch nicht erkennbar (vgl. auch Urteil 1C_460/2009 vom 22. Januar 2010 E. 2 mit Hinweisen, in: RtiD 2010 II 91).</w:t>
      </w:r>
    </w:p>
    <w:p>
      <w:r>
        <w:t>Daraus ergibt sich, dass die Beschwerden die Voraussetzungen von Art. 93 Abs. 1 BGG nicht erfüllen und unzulässig sind.</w:t>
      </w:r>
    </w:p>
    <w:p>
      <w:r>
        <w:rPr>
          <w:b/>
        </w:rPr>
        <w:t>E. 3</w:t>
      </w:r>
    </w:p>
    <w:p>
      <w:r>
        <w:t>Auf die Beschwerden ist nicht einzutreten.</w:t>
      </w:r>
    </w:p>
    <w:p>
      <w:r>
        <w:t>Bei diesem Verfahrensausgang sind die Gerichtskosten den Beschwerdeführern aufzuerlegen ( Art. 66 Abs. 1 BGG ). Eine Parteientschädigung ist nicht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