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524/2020 vom 12. August 2021</w:t>
      </w:r>
    </w:p>
    <w:p>
      <w:r>
        <w:t>Bundesgericht, 2021-08-12, FR</w:t>
      </w:r>
    </w:p>
    <w:p>
      <w:r>
        <w:rPr>
          <w:b/>
        </w:rPr>
        <w:t xml:space="preserve">Quelle: </w:t>
      </w:r>
      <w:r>
        <w:t>https://mcp.opencaselaw.ch/entscheid/bger_1C_524_2020</w:t>
      </w:r>
    </w:p>
    <w:p>
      <w:r>
        <w:t>FR: TF 1C 524/2020 du 12 août 2021</w:t>
      </w:r>
    </w:p>
    <w:p>
      <w:r>
        <w:t>IT: TF 1C 524/2020 del 12 agosto 2021</w:t>
      </w:r>
    </w:p>
    <w:p>
      <w:pPr>
        <w:pStyle w:val="Heading2"/>
      </w:pPr>
      <w:r>
        <w:t>Regeste</w:t>
      </w:r>
    </w:p>
    <w:p>
      <w:r>
        <w:t>Interdiction de manifester | Droit fondamental</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Le recours est dirigé contre une décision finale ( art. 90 LTF ) rendue dans une cause de droit public ( art. 82 let. a LTF ) par une autorité cantonale de dernière instance ( art. 86 al. 1 let . d LTF), sans qu'aucune des exceptions prévues à l' art. 83 LTF ne soit réalisée, de sorte que la voie du recours en matière de droit public est en principe ouverte.</w:t>
      </w:r>
    </w:p>
    <w:p>
      <w:r>
        <w:rPr>
          <w:b/>
        </w:rPr>
        <w:t>E. 1.2</w:t>
      </w:r>
    </w:p>
    <w:p>
      <w:r>
        <w:t>L' art. 89 al. 1 LTF confère la qualité pour former un recours en matière de droit public à quiconque est particulièrement atteint par la décision ou l'acte normatif attaqué (let. b) et a un intérêt digne de protection à son annulation ou à sa modification (let. c). En principe, cet intérêt doit être actuel et pratique, c'est-à-dire qu'il doit exister tant au moment du dépôt du recours qu'à celui où l'arrêt est rendu ( ATF 142 I 135 consid. 1.3.1; 139 I 206 consid. 1.1). Inspiré du souci de l'économie de la procédure, cette exigence vise à garantir que le Tribunal fédéral se prononce sur des questions concrètes et non pas simplement théoriques ( ATF 136 I 274 consid. 1.3). L'intérêt actuel fait en particulier défaut lorsque la décision attaquée a été exécutée ou est devenue sans objet ( ATF 125 II 86 consid. 5b p. 97). Le Tribunal fédéral fait exceptionnellement abstraction de l'exigence d'un intérêt actuel, lorsque la contestation peut se produire en tout temps dans des circonstances identiques ou analogues, que sa nature ne permet pas de la trancher avant qu'elle ne perde son actualité et qu'il existe un intérêt public suffisamment important à la solution de la question litigieuse ( ATF 142 I 135 consid. 1.3.1; 139 I 206 consid. 1.1). En vertu de l' art. 42 al. 1 LTF , il incombe au recourant d'alléguer les faits qu'il considère comme propres à fonder sa qualité pour recourir ( ATF 141 IV 284 consid. 2.3). Dans son écriture, la recourante ne se prononce pas sur la problématique de l'intérêt actuel au recours ( art. 42 LTF ), intérêt qui a été admis par la Cour de justice. En l'occurrence, la recourante a demandé une autorisation de manifester pour le 15 mai 2020, date qui était déjà échue au moment du prononcé de l'arrêt entrepris et, a fortiori, au moment du dépôt du présent recours. En outre, l'interdiction des rassemblements de cinq personnes - en vigueur lorsque le DSES a statué sur la demande de la recourante - a été levée le 30 mai 2020 (RO 2020 1815, spéc. 1820), soit peu après la date prévue pour la manifestation en question. La recourante n'a donc plus d'intérêt actuel au recours. Contrairement à l'avis exprimé par la Cour de justice, le fait que la pandémie de COVID-19 n'avait pas encore été éradiquée et que le Conseil fédéral pourrait à nouveau décider d'interdire les rassemblements dans l'espace public si les conditions sanitaires devaient se détériorer, ne permet pas de retenir l'existence d'un intérêt actuel au recours au niveau du Tribunal fédéral. Au demeurant, l' art. 29a Cst. évoqué par la Cour de justice garantit certes l'accès à un juge, mais pas nécessairement au Tribunal fédéral, un examen par un tribunal cantonal étant suffisant (cf. ATF 134 V 401 consid. 5.3 et 5.4; Message du 20 novembre 1996 relatif à une nouvelle constitution fédérale, FF 1997 I 511 s. ch. 231.41 et 530 s. ch. 232 ad art. 25a; BERNARD CORBOZ, in: Corboz et al., Commentaire de la LTF, 2e éd. 2014, n.6 ad art. 110 LTF ). La recourante ne cherche pas non plus à démontrer ( art. 42 LTF ) que les conditions cumulatives permettant exceptionnellement de faire abstraction de l'exigence d'un intérêt actuel seraient réunies en l'espèce (cf. supra consid. 1.2). On ne se trouve dès lors pas dans une situation qui justifie de déroger à l'exigence d'un intérêt actuel. Certes, la contestation pourrait se reproduire puisque la recourante pourrait déposer une nouvelle demande d'autorisation de manifester. Cependant, pour l'essentiel, les motifs retenus pour restreindre le droit de manifester se fondent sur les mesures destinées à lutter contre l'épidémie de COVID-19. Les autorités cantonales se sont fondées sur l'ordonnance 2 COVID-19, dans sa teneur en vigueur lorsque le DSES a statué, qui interdisait les manifestations publiques et privées ainsi que les rassemblements de plus de cinq personnes. Compte tenu du changement rapide de la situation et de la réglementation dans ce domaine (cf. notamment les assouplissements instaurés dans l'actuelle ordonnance fédérale du 23 juin 2021 sur les mesures destinées à lutter contre l'épidémie de COVID-19 en situation particulière - Ordonnance COVID-19 situation particulière, RO 2021 379), et de l'évolution des connaissances sur la pandémie, rien ne permet de penser qu'une nouvelle demande de manifestation similaire serait soumise à des règles identiques ou analogues au cas d'espèce (cf. arrêt 1C_47/2021 du 21 juillet 2021 consid. 3.2). En particulier, il convient de relever que dès le 30 mai 2020, les rassemblements de plus de trente personnes étaient à nouveau autorisés (RO 2020 1815, spéc. 1820 et 1822) et que, dès le 6 juin 2020, les manifestations publiques ou privées étaient admises à moins de 300 personnes (RO 2020 1815, spéc. 1816 et 1821).</w:t>
      </w:r>
    </w:p>
    <w:p>
      <w:r>
        <w:rPr>
          <w:b/>
        </w:rPr>
        <w:t>E. 1.3</w:t>
      </w:r>
    </w:p>
    <w:p>
      <w:r>
        <w:t>Il découle de ce qui précède que le recours doit être déclaré irrecevable, faute d'intérêt actuel à celui-ci.</w:t>
      </w:r>
    </w:p>
    <w:p>
      <w:r>
        <w:rPr>
          <w:b/>
        </w:rPr>
        <w:t>E. 2</w:t>
      </w:r>
    </w:p>
    <w:p>
      <w:r>
        <w:t>Les frais judiciaires réduits seront mis à la charge de la recourante qui succombe ( art. 66 al. 1 LTF ). Il n'est pas alloué de dépens à l'autorité intimée, qui a obtenu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