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1C_523/2021 vom 14. April 2023</w:t>
      </w:r>
    </w:p>
    <w:p>
      <w:r>
        <w:t>Bundesgericht, 2023-04-14, FR</w:t>
      </w:r>
    </w:p>
    <w:p>
      <w:r>
        <w:rPr>
          <w:b/>
        </w:rPr>
        <w:t xml:space="preserve">Quelle: </w:t>
      </w:r>
      <w:r>
        <w:t>https://mcp.opencaselaw.ch/entscheid/bger_1C_523_2021</w:t>
      </w:r>
    </w:p>
    <w:p>
      <w:r>
        <w:t>FR: TF 1C_523/2021 du 14 avril 2023</w:t>
      </w:r>
    </w:p>
    <w:p>
      <w:r>
        <w:t>IT: TF 1C_523/2021 del 14 aprile 2023</w:t>
      </w:r>
    </w:p>
    <w:p>
      <w:pPr>
        <w:pStyle w:val="Heading2"/>
      </w:pPr>
      <w:r>
        <w:t>Erwägungen</w:t>
      </w:r>
    </w:p>
    <w:p>
      <w:r>
        <w:rPr>
          <w:b/>
        </w:rPr>
        <w:t>E. 1</w:t>
      </w:r>
    </w:p>
    <w:p>
      <w:r>
        <w:t>Le Tribunal fédéral examine d'office et librement la recevabilité des recours qui lui sont soumis ( ATF 145 V 380 consid. 1).</w:t>
      </w:r>
    </w:p>
    <w:p>
      <w:r>
        <w:t>Le présent recours en matière de droit public est dirigé contre la décision attaquée, en tant qu'elle confirme l'ordre de production de certains documents, pris dans le cadre de la procédure de contrôle de la conformité des travaux avec la LDTR et la LCI. En principe, la décision par laquelle l'autorité ordonne la production de certaines pièces constitue une décision incidente, qui ne met pas fin à la procédure (cf. ATF 128 I 129 consid. 1; 126 I 97 consid. 1b et les références). Conformément à l' art. 93 al. 1 let. a LTF , une telle décision ne peut faire l'objet d'un recours devant le Tribunal fédéral que si elle peut causer un préjudice irréparable. La clause prévue à l' art. 93 al. 1 let. b LTF n'entre pas en considération dans le cas d'espèce. En règle générale, les ordonnances concernant l'obtention de preuves ne sont pas susceptibles de causer un préjudice irréparable à la partie requise (cf. ATF 141 III 80 consid. 1.2 avec les réf.). Il existe cependant des exceptions, notamment si des secrets d'affaires doivent être divulgués en vertu de l'ordonnance de preuves querellée (cf. arrêts 5A_356/2021 du 15 juin 2021 consid. 3.3 5A_823/2020 du 7 mai 2021 consid. 1.2.2; 5A_745/2014 du 16 mars 2015 consid. 1.2.2) ou si l'administration de preuves révèle des informations, alors que le litige principal au fond concerne précisément le point de savoir si ces informations doivent ou non être divulguées. Dans ces cas également, un recours ultérieur contre le jugement final n'est plus envisageable au regard des effets de l'ordonnance incidente sur la cause principale (à ce sujet: ATF 137 III 380 consid. 1.2.2; cf. aussi arrêts 5A_356/2021 du 15 juin 2021 consid. 3.3; 5A_823/2020 du 7 mai 2021 consid. 1.2.2). La jurisprudence admet également l'existence d'un préjudice irréparable lorsqu'un ordre de production de pièces est assorti de la menace des peines prévues à l' art. 292 CP . Le destinataire de l'injonction se trouve, en cas de refus, directement exposé à une poursuite pénale (arrêts 1B_142/2016 du 16 novembre 2016 consid. 1.1; 5P.350/2004 du 10 mai 2005 consid. 2).</w:t>
      </w:r>
    </w:p>
    <w:p>
      <w:r>
        <w:t>Dans le cas d'espèce, l'ordre de production est assorti d'une amende et le recourant, destinataire de cet ordre, est exposé à une nouvelle amende en cas de refus d'obtempérer. La question de savoir s'il y a préjudice irréparable dans ces circonstances particulières peut demeurer indécise, dans la mesure où il découle des considérants suivants que le recours doit être rejeté sur le fond.</w:t>
      </w:r>
    </w:p>
    <w:p>
      <w:r>
        <w:rPr>
          <w:b/>
        </w:rPr>
        <w:t>E. 2</w:t>
      </w:r>
    </w:p>
    <w:p>
      <w:r>
        <w:t>La recourante se plaint d'une application arbitraire de la loi cantonale d'application de la loi fédérale sur l'harmonisation des registres des habitants et d'autres registres officiels de personnes du 3 avril 2009 (LaLHR; RS/GE F 2 25). Elle soutient que le département ne serait pas habilité à ordonner la production des documents requis; l'autorité compétente au sens des art. 3 et 7 al. 2 LaLHR serait l'office cantonal de la population et des migrations (OCPM; cf. art. 2 let. a LaLHR), de sorte que la décision du département serait nulle. De plus, la recourante affirme qu'elle ne serait pas visée par l'obligation de renseigner l'office compétent au sujet des sous-locataires, obligation prévue par l'art. 7 al. 2 LaLHR.</w:t>
      </w:r>
    </w:p>
    <w:p>
      <w:r>
        <w:t>Dans son arrêt du 6 juillet 2021, la cour cantonale a exposé que l'amende infligée à la recourante était pleinement justifiée s'agissant de la production lacunaire des documents requis selon décision du 29 août 2019 et que, par ce nouveau comportement, la recourante montrait le peu de cas qu'elle faisait de la LCI, de la LDTR et des injonctions que le département était fondé à lui faire sur la base de ces normes. La cour cantonale a mentionné plusieurs dispositions de ces règlementations (cf. art. 1, 3 al. 3 et 25 LDTR; art. 4 al. 1 et 3 du règlement d'application de la loi sur les démolitions, transformations et rénovations de maisons d'habitation [RDTR; RS/GE L 5 20.01]; art. 129 al. 1 et 130 LCI). Elle a en particulier précisé que, quand bien même l'autorisation DD 105'638 - qui prévoyait expressément que tous les appartements transformés sans autorisation de construire devaient être loués non meublés et les loyers contrôlés pendant cinq ans - serait caduque (dans la situation la plus favorable à la recourante), il n'en restait pas moins que le changement d'affectation en résidences meublées, suspecté par le département, n'avait jamais été autorisé, comme l'exigeait pourtant l'art. 4 RDTR. C'était donc à bon escient que le département requérait de la recourante qu'elle produise l'intégralité des documents énumérés sous points 3 à 7 (spécifiant la demande initiale du 29 août 2019), pour déterminer si les exigences de la LDTR et du RDTR notamment étaient respectées.</w:t>
      </w:r>
    </w:p>
    <w:p>
      <w:r>
        <w:rPr>
          <w:b/>
        </w:rPr>
        <w:t>E. 2.1</w:t>
      </w:r>
    </w:p>
    <w:p>
      <w:r>
        <w:t>L'art. 1 al. 1 let. b LCI dispose que, sur tout le territoire du canton nul ne peut, sans y avoir été autorisé modifier même partiellement le volume, l'architecture, la couleur, l'implantation, la distribution ou la destination d'une construction ou d'une installation.</w:t>
      </w:r>
    </w:p>
    <w:p>
      <w:r>
        <w:t>La LDTR - qui a pour but de préserver l'habitat et les conditions de vie existants ainsi que le caractère actuel de l'habitat dans les zones visées à l'art. 2 (art. 1 al. 1 LDTR) - prévoit notamment des restrictions à la démolition, à la transformation et au changement d'affectation des maisons d'habitation (art. 1 al. 2 let. a LDTR). Par changement d'affectation, on entend toute modification, même en l'absence de travaux, qui a pour effet de remplacer des locaux à destination de logements par des locaux à usage commercial, administratif, artisanal ou industriel (art. 3 al. 3 LDTR); sont également assimilés à des changements d'affectation le remplacement de locaux à destination de logements par des résidences meublées ou des hôtels (art. 3 al. 3 let. a LDTR). A l'exclusion des chambres meublées isolées, la résidence meublée est un logement qui est loué meublé à des fins commerciales dans une maison d'habitation (art. 4 al. 1 RDTR). L'autorisation de remplacer des locaux à destination de logements par une résidence meublée est limitée à la durée maximum de dix ans; elle est renouvelable (art. 4 al. 3 RDTR).</w:t>
      </w:r>
    </w:p>
    <w:p>
      <w:r>
        <w:t>Selon l'art 44 al. 1 LDTR (Sanctions et mesures), celui qui contrevient aux dispositions de la présente loi est passible des mesures et des sanctions administratives prévues par les art. 129 à 139 LCI et des peines plus élevées prévues par le code pénal suisse.</w:t>
      </w:r>
    </w:p>
    <w:p>
      <w:r>
        <w:t>L'art. 129 al. 1 LCI dispose que, dans les limites des dispositions de l'art. 130 LCI, le département peut ordonner à l'égard des constructions, des installations ou d'autres choses l'interdiction d'utiliser ou d'exploiter (let. d) et la remise en état, la réparation, la modification, la suppression ou la démolition (let. e). Quant à l'art. 130 LCI, il précise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w:t>
      </w:r>
    </w:p>
    <w:p>
      <w:r>
        <w:t>Enfin, l'art. 7 al. 2 LaLHR, invoqué par la recourante dans son mémoire, précise que les bailleurs, sous-bailleurs et gérants d'immeubles doivent communiquer gratuitement à l'office, dans un délai de 14 jours, chaque emménagement et déménagement de locataires et sous-locataires habitant dans leurs immeubles, en précisant s'il s'agit de leur lieu de résidence. Le registre des habitants est géré par l'office cantonal de la population et des migrations (cf. art. 2 let. a LaLHR). Selon l'art. 3 al. 3 LaLHR, la tenue des fichiers mentionnés à l'article 2 est de la responsabilité de chacune des unités administratives qui les gère.</w:t>
      </w:r>
    </w:p>
    <w:p>
      <w:r>
        <w:rPr>
          <w:b/>
        </w:rPr>
        <w:t>E. 2.2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w:t>
      </w:r>
    </w:p>
    <w:p>
      <w:r>
        <w:rPr>
          <w:b/>
        </w:rPr>
        <w:t>E. 2.3</w:t>
      </w:r>
    </w:p>
    <w:p>
      <w:r>
        <w:t>L'ordre de production litigieux n'apparaît pas arbitraire. En effet, il ressort de l'arrêt entrepris que les autorités genevoises, dans le cadre d'une procédure de contrôle de la conformité des travaux réalisés, soupçonnent une violation par la recourante de la législation sur les démolitions, transformations et rénovations de maisons d'habitation (LDTR et RDTR) ainsi que de la loi sur les constructions et les installations diverses (LCI). La cour cantonale a retenu, sans que cela ne soit contesté par la recourante, que le département disposait de nombreux indices, depuis les mois de mai-juin 2016, qui s'étaient confirmés en novembre 2016, que la quasi-totalité des appartements de l'immeuble, serait louée à titre de résidence meublée, via internet, avec un service de nettoyage et à des prix largement supérieurs à ceux autorisés; or cette location de résidences meublées à des fins commerciales ne répondrait pas à l'affectation initiale des 26 logements ayant existé depuis 2006. L'instance précédente a considéré que ce changement d'affectation (cf. art. 3 al. 3 let. a LDTR) - tel que suspecté par le département - n'avait pas été autorisé, comme l'exigeait pourtant l'art. 4 al. 3 RDTR. Dans ces conditions, l'instance précédente n'a pas versé dans l'arbitraire en estimant que, dans le cadre la présente procédure de contrôle de la conformité des travaux, le département - autorité chargée du respect de la LCI et de la LDTR - pouvait exiger la production des documents énumérés sous les points 3 à 7 de la décision du 26 novembre 2019 (qui spécifiaient la demande initiale du 29 août 2019) afin de déterminer si les exigences de la LDTR et du RDTR étaient respectées, tout comme d'ailleurs les conditions de l'autorisation DD 105'638. Dès lors que le département est compétent pour ordonner la remise en état, la modification, la suppression ou la démolition de constructions, d'installations ou d'autres choses non conformes au droit (cf. art. 129 et 130 LCI en lien avec l'art. 44 LDTR), il n'est pas insoutenable de considérer qu'il peut exiger de la propriétaire la production de documents permettant de vérifier la conformité des travaux réalisés à la règlementation applicable et aux autorisations délivrées.</w:t>
      </w:r>
    </w:p>
    <w:p>
      <w:r>
        <w:t>En d'autres termes, la compétence du département de contrôler l'application de la législation sur les constructions et de celle sur les démolitions, transformations et rénovations de maisons d'habitation, ainsi que d'en faire observer les règles, comprend celle d'exiger la production de documents permettant précisément de contrôler l'observation de ces règles. L'habilitation du département résulte du droit matériel (cf. arrêt 1C_557/2019 du 21 avril 2020 consid. 2.4; cf. ATF 123 II 248 consid. 4b; cf. THIERRY TANQUEREL, Manuel de droit administratif, 2e éd. 2018, n° 1157 et 1200 p. 400 et 410).</w:t>
      </w:r>
    </w:p>
    <w:p>
      <w:r>
        <w:t>En outre, la cour cantonale pouvait considérer, sans verser dans l'arbitraire, que les documents demandés (historique des baux à loyer, avis de fixation de loyer initial, avis de majoration de loyers, état locatif complet, comprenant notamment les sous-locations, etc.) étaient à même de permettre de déterminer quelle est l'affectation actuelle et passée des dizaines d'appartements litigieux et leurs conditions de location. Le département pouvait également exiger les documents qui concernaient les sous-locations, contrairement à l'avis de la propriétaire recourante.</w:t>
      </w:r>
    </w:p>
    <w:p>
      <w:r>
        <w:rPr>
          <w:b/>
        </w:rPr>
        <w:t>E. 2.4</w:t>
      </w:r>
    </w:p>
    <w:p>
      <w:r>
        <w:t>En définitive, la décision qui confirme l'ordre de production des documents requis, énumérés aux chiffres 3 à 7 de la décision du 26 novembre 2019, n'apparaît pas arbitraire et le grief y relatif doit être rejeté. L'analyse des art. 3 al. 1 et 7 al. 2 LaLHR invoqués par la recourante n'était pas décisive en l'espèce.</w:t>
      </w:r>
    </w:p>
    <w:p>
      <w:r>
        <w:rPr>
          <w:b/>
        </w:rPr>
        <w:t>E. 3</w:t>
      </w:r>
    </w:p>
    <w:p>
      <w:r>
        <w:t>Sur le vu de ce qui précède, le recours doit être rejeté, dans la mesure où il est recevable, aux frais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