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1C_523/2018 vom 10. Oktober 2018</w:t>
      </w:r>
    </w:p>
    <w:p>
      <w:r>
        <w:t>Bundesgericht, 2018-10-10, FR</w:t>
      </w:r>
    </w:p>
    <w:p>
      <w:r>
        <w:rPr>
          <w:b/>
        </w:rPr>
        <w:t xml:space="preserve">Quelle: </w:t>
      </w:r>
      <w:r>
        <w:t>https://mcp.opencaselaw.ch/entscheid/bger_1C_523_2018</w:t>
      </w:r>
    </w:p>
    <w:p>
      <w:r>
        <w:t>FR: TF 1C_523/2018 du 10 octobre 2018</w:t>
      </w:r>
    </w:p>
    <w:p>
      <w:r>
        <w:t>IT: TF 1C_523/2018 del 10 ottobre 2018</w:t>
      </w:r>
    </w:p>
    <w:p>
      <w:pPr>
        <w:pStyle w:val="Heading2"/>
      </w:pPr>
      <w:r>
        <w:t>Erwägungen</w:t>
      </w:r>
    </w:p>
    <w:p>
      <w:r>
        <w:rPr>
          <w:b/>
        </w:rPr>
        <w:t>E. 1</w:t>
      </w:r>
    </w:p>
    <w:p>
      <w:r>
        <w:t>Par ordonnance de clôture du 13 décembre 2017, le Ministère public du canton de Vaud a décidé de transmettre aux autorités néerlandaises la documentation relative d'une part à des comptes bancaires détenus par B.________, C.________, D.________, et d'autre part à des cartes de crédit émises aux noms de B.________ et A.________. Cette transmission intervient en exécution d'une demande d'entraide judiciaire formée par le Parquet d'Amsterdam dans le cadre d'une procédure de confiscation ouverte à l'encontre de A.________, après une condamnation pour faux et corruption.</w:t>
      </w:r>
    </w:p>
    <w:p>
      <w:r>
        <w:t>Par arrêt du 26 septembre 2018, la Cour des plaintes du Tribunal pénal fédéral a rejeté, après les avoir joints, les quatre recours formés par les précités. L'ouverture d'une procédure indépendante de confiscation "in rem" après une condamnation ne violait pas le principe "ne bis in idem". La demande d'entraide, confirmée après les jugements en appel et en cassation, faisait état d'un versement à un haut fonctionnaire et de l'obtention de contreparties financières. Les actes d'entraide requis présentaient un lien suffisant avec les infractions décrites, de sorte qu'il n'y avait pas de recherche indéterminée de moyens de preuve.</w:t>
      </w:r>
    </w:p>
    <w:p>
      <w:r>
        <w:rPr>
          <w:b/>
        </w:rPr>
        <w:t>E. 2</w:t>
      </w:r>
    </w:p>
    <w:p>
      <w:r>
        <w:t>Par acte du 8 octobre 2018, A.________ (recourant 1), B.________, C.________ et D.________ (recourants 2-4) demandent au Tribunal fédéral d'annuler l'arrêt de la Cour des plaintes, de déclarer irrecevable, subsidiairement de rejeter la demande d'entraide, plus subsidiairement de renvoyer la cause à la Cour des plaintes pour nouvelle décision au sens des considérants. Ils demandent aussi, à titre subsidiaire, un délai pour compléter leur mémoire de recours, ainsi qu'une disjonction de causes.</w:t>
      </w:r>
    </w:p>
    <w:p>
      <w:r>
        <w:t>Il n'a pas été demandé de réponse.</w:t>
      </w:r>
    </w:p>
    <w:p>
      <w:r>
        <w:rPr>
          <w:b/>
        </w:rPr>
        <w:t>E. 3</w:t>
      </w:r>
    </w:p>
    <w:p>
      <w:r>
        <w:t>Les recourants s'opposent à la jonction des causes opérée par la Cour des plaintes, relevant que le recourant 1 fait l'objet de mesures de contrainte depuis 2007 et que les autres recourants sont des tiers à la procédure. Ils ne paraissent toutefois pas en déduire que l'arrêt attaqué devrait être annulé pour ce motif. Dès lors qu'ils ont choisi d'agir conjointement devant le Tribunal fédéral, il n'y a pas lieu d'opérer une disjonction de causes à ce stade. Cela n'empêche pas d'examiner de manière différenciée les objections propres aux différents recourants, en particulier s'agissant des motifs d'entrée en matière.</w:t>
      </w:r>
    </w:p>
    <w:p>
      <w:r>
        <w:rPr>
          <w:b/>
        </w:rPr>
        <w:t>E. 4</w:t>
      </w:r>
    </w:p>
    <w:p>
      <w:r>
        <w:t>Selon l' art. 109 al. 1 LTF , la cour siège à trois juges lorsqu'elle refuse d'entrer en matière sur un recours soumis à l'exigence de l' art. 84 LTF .</w:t>
      </w:r>
    </w:p>
    <w:p>
      <w:r>
        <w:rPr>
          <w:b/>
        </w:rPr>
        <w:t>E. 4.1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4.2</w:t>
      </w:r>
    </w:p>
    <w:p>
      <w:r>
        <w:t>La présente espèce porte certes sur la transmission de renseignements touchant le domaine secret. Toutefois, compte tenu des faits à l'origine de la demande et de la nature de la transmission envisagée, portant sur la documentation relative à des avoirs bancaires et cartes de crédit, le cas ne revêt en soi aucune importance particulière.</w:t>
      </w:r>
    </w:p>
    <w:p>
      <w:r>
        <w:rPr>
          <w:b/>
        </w:rPr>
        <w:t>E. 4.3</w:t>
      </w:r>
    </w:p>
    <w:p>
      <w:r>
        <w:t>Le recourant 1 relève que ses comptes bancaires sont bloqués à hauteur de plusieurs millions depuis 2007. La durée de ce blocage serait constitutive d'une violation du principe de célérité. Le recourant méconnaît que si ses fonds sont bloqués depuis 2007, ce n'est pas du fait de la demande d'entraide litigieuse qui a été déposée le 30 juin 2014. L'arrêt attaqué n'évoque d'ailleurs pas de décision de blocage prise dans ce contexte. Or, s'agissant d'un grief susceptible de justifier une entrée en matière, il appartenait à tout le moins au recourant de le soulever devant l'instance précédente déjà. Au demeurant, la jurisprudence admet certes que l'importance des montants bloqués peut parfois justifier une entrée en matière (cf. arrêts 1C_243/2018 du 24 mai 2018, 1C_190/2017 du 7 avril 2017 consid. 1.2, 1C_239/2014 du 18 août 2014 consid. 1). Il s'agit toutefois de montants (plusieurs centaines de millions de dollars) sans commune mesure avec les avoirs actuellement bloqués.</w:t>
      </w:r>
    </w:p>
    <w:p>
      <w:r>
        <w:rPr>
          <w:b/>
        </w:rPr>
        <w:t>E. 4.4</w:t>
      </w:r>
    </w:p>
    <w:p>
      <w:r>
        <w:t>Les recourants 2-4 évoquent la jurisprudence excluant une remise des fonds lorsqu'il n'existe pas de connexité avec l'infraction reprochée; ils méconnaissent que l'arrêt attaqué ne porte pas en l'état sur une telle remise mais sur la simple transmission de renseignements destinés précisément à établir un tel lien, et soumise à la condition de l'utilité potentielle. L'argumentation fondée sur l' art. 74 al. 2 et 74a EIMP - et qui n'a pas non plus été soumise à l'instance précédente - apparaît ainsi prématurée. Les autres objections portent sur la motivation de la demande d'entraide, la possibilité d'accorder l'entraide judiciaire pour une procédure indépendante de confiscation et l'interdiction de la recherche indéterminée de preuves. Elles ont été examinées et rejetées par la Cour des plaintes en se fondant sur la jurisprudence constante. Il ne se pose aucune question de principe sur ces points.</w:t>
      </w:r>
    </w:p>
    <w:p>
      <w:r>
        <w:rPr>
          <w:b/>
        </w:rPr>
        <w:t>E. 5</w:t>
      </w:r>
    </w:p>
    <w:p>
      <w:r>
        <w:t>Sur le vu de ce qui précède, le recours est irrecevable. Conformément à l' art. 66 al. 1 LTF , les frais judiciaires sont mis à la charge solidaire des recourants qui succombent. Il n'y a pas lieu d'autoriser la production d'un mémoire complémentaire ( art. 43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