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1C_523/2009 vom 12. März 2010</w:t>
      </w:r>
    </w:p>
    <w:p>
      <w:r>
        <w:t>Bundesgericht, 2010-03-12, FR</w:t>
      </w:r>
    </w:p>
    <w:p>
      <w:r>
        <w:rPr>
          <w:b/>
        </w:rPr>
        <w:t xml:space="preserve">Quelle: </w:t>
      </w:r>
      <w:r>
        <w:t>https://mcp.opencaselaw.ch/entscheid/bger_1C_523_2009</w:t>
      </w:r>
    </w:p>
    <w:p>
      <w:r>
        <w:t>FR: TF 1C_523/2009 du 12 mars 2010</w:t>
      </w:r>
    </w:p>
    <w:p>
      <w:r>
        <w:t>IT: TF 1C_523/2009 del 12 marzo 2010</w:t>
      </w:r>
    </w:p>
    <w:p>
      <w:pPr>
        <w:pStyle w:val="Heading2"/>
      </w:pPr>
      <w:r>
        <w:t>Erwägungen</w:t>
      </w:r>
    </w:p>
    <w:p>
      <w:r>
        <w:rPr>
          <w:b/>
        </w:rPr>
        <w:t>E. 1</w:t>
      </w:r>
    </w:p>
    <w:p>
      <w:r>
        <w:t>Le Tribunal fédéral examine d'office et librement la recevabilité des recours qui lui sont soumis ( ATF 135 III 329 consid. 1 p. 331 et les arrêts cités). Toutefois, lorsque les conditions de recevabilité, en particulier la qualité pour recourir, ne ressortent pas à l'évidence de la décision attaquée ou du dossier de la cause, le recourant doit exposer en quoi elles sont réunies sous peine d'irrecevabilité ( art. 42 al. 1 et 2 LTF ; ATF 133 II 353 consid. 1 p. 356 et les références).</w:t>
      </w:r>
    </w:p>
    <w:p>
      <w:r>
        <w:rPr>
          <w:b/>
        </w:rPr>
        <w:t>E. 2</w:t>
      </w:r>
    </w:p>
    <w:p>
      <w:r>
        <w:t>La qualité pour former un recours en matière de droit public est régie par l' art. 89 LTF . Aux termes de l'alinéa premier de cette disposition,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Conformément à l' art. 89 al. 2 LTF , ont aussi la qualité pour recourir, à certaines conditions, les communes et les autres collectivités de droit public (let. c) et les personnes, organisations et autorités auxquelles une autre loi fédérale accorde un droit de recours (let. d).</w:t>
      </w:r>
    </w:p>
    <w:p>
      <w:r>
        <w:rPr>
          <w:b/>
        </w:rPr>
        <w:t>E. 2.1</w:t>
      </w:r>
    </w:p>
    <w:p>
      <w:r>
        <w:t>La recourante étant en l'occurrence une commune, il convient d'examiner en premier lieu si elle peut fonder sa qualité pour recourir sur l' art. 89 al. 2 let . c LTF. Conformément à cette disposition, les communes disposent de la qualité pour recourir si elles invoquent "la violation de garanties qui leur sont reconnues par la constitution cantonale ou la Constitution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cantonal en tant que détentrice de la puissance publique. Savoir si la commune est réellement autonome dans le domaine litigieux, et si cette autonomie a été violée en l'espèce, sont des questions qui ressortissent du fond ( ATF 135 I 43 consid. 1.2 p. 45; 129 I 313 consid. 4.2 p. 319 et les références).</w:t>
      </w:r>
    </w:p>
    <w:p>
      <w:r>
        <w:t>Dans le canton de Genève, en matière de police des constructions, le département est compétent pour délivrer les autorisations de construire (art. 2 de la loi cantonale du 14 avril 1988 sur les constructions et les installations diverses [LCI; RSG L 5 05]), alors que les communes ne disposent que d'un droit de préavis à titre consultatif (art. 3 al. 3 LCI). Dans la mesure où le département n'est pas lié par le préavis des communes, celles-ci ne peuvent se prévaloir d'aucune autonomie en la matière (arrêt 1C_410/2008 du 30 janvier 2009 consid. 1.2; CHRISTIAN M. REISER, Autonomie et démocratie dans les communes genevoises, 1998, p. 100). C'est ainsi à juste titre que la commune recourante ne se prévaut pas de la garantie de son autonomie communale, un tel grief étant en l'espèce dépourvu de chances de succès. Elle ne peut donc pas fonder sa qualité pour recourir sur l' art. 89 al. 2 let . c LTF.</w:t>
      </w:r>
    </w:p>
    <w:p>
      <w:r>
        <w:rPr>
          <w:b/>
        </w:rPr>
        <w:t>E. 2.2</w:t>
      </w:r>
    </w:p>
    <w:p>
      <w:r>
        <w:t>Elle pourrait la fonder sur l' art. 89 al. 2 let . d LTF, si une autre loi fédérale lui accordait un droit de recours. En matière d'aménagement du territoire, l' art. 34 al. 2 LAT (RS 700) prévoit que les cantons et les communes ont qualité pour recourir, au sens de l' art. 89 al. 2 let . d LTF, contre les décisions de la dernière instance cantonale si elles portent sur des indemnisations résultant de restrictions du droit de propriété, sur la reconnaissance de la conformité à l'affectation de la zone de constructions et d'installations sises hors de la zone à bâtir ou sur des autorisations visées aux art. 24 à 24d et 37a LAT. Dans la mesure où le présent litige concerne l'application de dispositions réglant l'octroi d'autorisations de construire en zone à bâtir, il ne correspond à aucun des cas visés par l' art. 34 al. 2 LAT .</w:t>
      </w:r>
    </w:p>
    <w:p>
      <w:r>
        <w:rPr>
          <w:b/>
        </w:rPr>
        <w:t>E. 2.3</w:t>
      </w:r>
    </w:p>
    <w:p>
      <w:r>
        <w:t>Il reste à examiner si la commune recourante peut fonder sa qualité pour recourir sur l' art. 89 al. 1 LTF . Si cette disposition est en premier lieu conçue pour des particuliers, il est reconnu que les collectivités publiques peuvent s'en prévaloir à certaines conditions. La pratique développée à cet égard sous l'empire de l'OJ reste valable depuis l'entrée en vigueur de la LTF ( ATF 135 I 43 consid. 1.3 p. 47; 135 II 156 consid. 3.1 p. 157; 134 II 45 consid. 2.2.1 p. 47; 133 II 400 consid. 2.4.2 p. 406 et les références; cf. aussi: Message du 28 février 2001 concernant la révision totale de l'organisation judiciaire fédérale, FF 2001 4128 ch. 4.1.3.3).</w:t>
      </w:r>
    </w:p>
    <w:p>
      <w:r>
        <w:rPr>
          <w:b/>
        </w:rPr>
        <w:t>E. 2.3.1</w:t>
      </w:r>
    </w:p>
    <w:p>
      <w:r>
        <w:t>Les communes et autres collectivités publiques peuvent être particulièrement atteintes par la décision attaquée et avoir un intérêt digne de protection à son annulation ou à sa modification au sens de l'art. 89 al. 1 let. b et c LTF si la décision les atteint de la même manière qu'un particulier, ou du moins de manière analogue, dans leurs intérêts juridiques ou patrimoniaux ( ATF 135 II 156 consid. 3.1 p. 158; 135 I 43 consid. 1.3 p. 47; 134 II 45 consid. 2.2.1 p. 47; 131 II 58 consid. 1.3 p. 62 et les références citées). En l'occurrence, la décision attaquée est une autorisation de construire concernant une parcelle appartenant à l'intimé. La commune recourante ne peut donc pas prétendre être atteinte par cette décision de la même manière qu'un particulier au sens de la jurisprudence précitée.</w:t>
      </w:r>
    </w:p>
    <w:p>
      <w:r>
        <w:rPr>
          <w:b/>
        </w:rPr>
        <w:t>E. 2.3.2</w:t>
      </w:r>
    </w:p>
    <w:p>
      <w:r>
        <w:t>Une commune peut aussi avoir un intérêt légitime à recourir, au sens de l' art. 89 al. 1 LTF , lorsqu'elle est touchée dans ses prérogatives de puissance publique et qu'elle dispose d'un intérêt public propre digne de protection à l'annulation ou à la modification de l'acte attaqué. Un intérêt général à une correcte application du droit n'est cependant pas suffisant au regard de cette disposition ( ATF 135 II 156 consid. 3.1 p. 158; 134 II 45 consid. 2.2.1 p. 47; 133 II 400 consid. 2.4.2 p. 406; 131 II 58 consid. 1.3 p. 62 et les références). En matière de droit des constructions, on peut admettre que la commune dispose d'un intérêt public propre si le projet auquel elle s'oppose peut avoir des répercussions immédiates sur l'ensemble ou une grande partie de ses habitants, par exemple s'il implique une charge sonore et polluante excessive sur le territoire de la commune ou un risque pour les eaux souterraines (cf. ATF 133 II 400 consid. 2.4.2 p. 406; 131 II 753 consid. 4.3.3 p. 759 s.; arrêt 1A.31/1997 du 27 novembre 1997 consid. 1b, in DEP 1998 p. 236). Dans tous les cas, la reconnaissance de la qualité pour recourir de la commune fondée sur l' art. 89 al. 1 LTF ne doit intervenir que de manière restrictive et implique que la commune soit touchée dans ses intérêts centraux et souverains ( ATF 135 I 43 consid. 1.3 p. 47).</w:t>
      </w:r>
    </w:p>
    <w:p>
      <w:r>
        <w:t>En l'espèce, la commune recourante conteste l'application d'une loi cantonale sur les constructions, qui ne lui donne pas de compétence propre dans le domaine litigieux. Elle ne peut pas se prévaloir d'un intérêt central lié à sa puissance publique, dès lors que le projet en cause n'aura pas de répercussions immédiates et directes sur l'ensemble ou une majorité de ses habitants. Il est en effet manifeste que les incidences de ce projet seront limitées aux parcelles voisines. La commune, dépourvue de toute compétence décisionnelle dans le domaine concerné, fait ainsi uniquement valoir son intérêt général à une correcte application du droit, soit un intérêt insuffisant pour lui reconnaître la qualité pour recourir sous l'angle de l' art. 89 al. 1 LTF (cf. arrêt 1C_384/2007 du 14 mai 2008 consid. 3.5, in SJ 2008 I p. 453).</w:t>
      </w:r>
    </w:p>
    <w:p>
      <w:r>
        <w:rPr>
          <w:b/>
        </w:rPr>
        <w:t>E. 3</w:t>
      </w:r>
    </w:p>
    <w:p>
      <w:r>
        <w:t>En définitive, le recours doit être déclaré irrecevable. La commune de Versoix ayant agi dans l'exercice de ses attributions officielles contre une décision ne mettant pas en jeu ses intérêts patrimoniaux, il n'y a pas lieu de mettre des frais judiciaires à sa charge ( art. 66 al. 4 LTF ). En revanche, elle devra payer une indemnité de dépens à l'intimé A.________,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