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1C_520/2017 vom 1. November 2017</w:t>
      </w:r>
    </w:p>
    <w:p>
      <w:r>
        <w:t>Bundesgericht, 2017-11-01, DE</w:t>
      </w:r>
    </w:p>
    <w:p>
      <w:r>
        <w:rPr>
          <w:b/>
        </w:rPr>
        <w:t xml:space="preserve">Quelle: </w:t>
      </w:r>
      <w:r>
        <w:t>https://mcp.opencaselaw.ch/entscheid/bger_1C_520_2017</w:t>
      </w:r>
    </w:p>
    <w:p>
      <w:r>
        <w:t>FR: TF 1C_520/2017 du 1 novembre 2017</w:t>
      </w:r>
    </w:p>
    <w:p>
      <w:r>
        <w:t>IT: TF 1C_520/2017 del 1 novembre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ist mit Zurückhaltung anzunehmen ( BGE 136 IV 139 E. 2.4 S. 144 mit Hinweis).</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Das Bundesstrafgericht hat die bundesgerichtliche Praxis zur Beschwerdelegitimation korrekt dargelegt. Danach ist gemäss Art. 80h lit. b IRSG und Art. 9a lit. a IRSV (SR 351.11) der bloss wirtschaftlich an einem Bankkonto, Banksafe oder Wertschriftendepot Berechtigte im Gegensatz zum Inhaber grundsätzlich nicht legitimiert, Rechtshilfemassnahmen anzufechten, welche die Bankverbindung betreffen. Eine Ausnahme lässt die Praxis zu, falls einzige Kontoinhaberin eine juristische Person war, die aufgelöst worden ist, und zudem keine Anhaltspunkte dafür bestehen, dass die Liquidation dieser Gesellschaft nur vorgeschoben wird bzw. rechtsmissbräuchlich erfolgte ( BGE 139 II 404 E. 2.1.1 S. 411 f.; 137 IV 134 E. 5.2.1 S. 137 f.; je mit Hinweisen). Der wirtschaftlich Berechtigte muss in diesem Fall beweisen, dass ihm der Liquidationserlös zugeflossen ist (Urteil 1C_370/2012 vom 3. Oktober 2012 E. 2 mit Hinweisen). Die Kritik des Beschwerdeführers gibt keinen Anlass, auf diese Rechtsprechung zurückzukommen. Dass er nicht hat beweisen können, Begünstigter des Liquidationserlöses zu sein, bestreitet er nicht. Damit ist das Bundesstrafgericht zu Recht auf seine Beschwerde nicht eingetreten.</w:t>
      </w:r>
    </w:p>
    <w:p>
      <w:r>
        <w:t>Eine rechtliche Grundsatzfrage stellt sich mithin nicht. Auch sonst bringt der Beschwerdeführer nichts vor, was es rechtfertigen könnte, den vorliegenden Fall als besonders bedeutend einzustufen.</w:t>
      </w:r>
    </w:p>
    <w:p>
      <w:r>
        <w:rPr>
          <w:b/>
        </w:rPr>
        <w:t>E. 2</w:t>
      </w:r>
    </w:p>
    <w:p>
      <w:r>
        <w:t>Auf die Beschwerde ist aus den genannten Gründen nicht einzutreten.</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