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1C_520/2012 vom 30. Juli 2013</w:t>
      </w:r>
    </w:p>
    <w:p>
      <w:r>
        <w:t>Bundesgericht, 2013-07-30, FR</w:t>
      </w:r>
    </w:p>
    <w:p>
      <w:r>
        <w:rPr>
          <w:b/>
        </w:rPr>
        <w:t xml:space="preserve">Quelle: </w:t>
      </w:r>
      <w:r>
        <w:t>https://mcp.opencaselaw.ch/entscheid/bger_1C_520_2012</w:t>
      </w:r>
    </w:p>
    <w:p>
      <w:r>
        <w:t>FR: TF 1C_520/2012 du 30 juillet 2013</w:t>
      </w:r>
    </w:p>
    <w:p>
      <w:r>
        <w:t>IT: TF 1C_520/2012 del 30 luglio 2013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parcelles directement voisines du projet, ils sont particulièrement touchés par l'arrêt attaqué confirmant l'octroi d'un permis de construire pour un projet de construction qu'ils tiennent en particulier pour non conforme à la LATeC. Ils peuvent ainsi se prévaloir d'un intérêt personnel et digne de protection à l'annulation de l'arrêt attaqué. Ils ont dès lors qualité pour agir au sens de l' art. 89 al. 1 LTF .</w:t>
      </w:r>
    </w:p>
    <w:p>
      <w:r>
        <w:rPr>
          <w:b/>
        </w:rPr>
        <w:t>E. 2</w:t>
      </w:r>
    </w:p>
    <w:p>
      <w:r>
        <w:t>Les recourants reprochent aux juges cantonaux d'avoir fait une application arbitraire du droit cantonal à savoir de l'art. 125 LATeC, relatif à la clause d'esthétique, respectivement d'avoir violé l' art. 3 al. 2 let. b LAT . En substance, ils soutiennent que le bâtiment C ne s'intègre pas, de par ses dimensions, dans l'ensemble bâti.</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rPr>
          <w:b/>
        </w:rPr>
        <w:t>E. 2.2</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 Hänni, Raumplanungsgesetz, 2006, n. 27 ad art. 3 LAT ,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 Pour qu'un projet puisse être interdit sur la base de l' art. 3 al. 2 let. b LAT , il doit porter une atteinte grave à un paysage d'une valeur particulière qui serait inacceptable dans le cadre d'une appréciation soigneuse des divers intérêts en présence (cf. arrêt 1C_82/2008 du 28 mai 2008 consid. 6.3 non publié in ATF 134 II 117 ; arrêt 1A.92/1998 du 30 décembre 1998 consid. 5 publié in RDAF 1999 I p. 410). Une clause générale d'esthétique dans le cadre de la procédure d'autorisation de construire peut renforcer la mise en oeuvre de ce principe (Pierre Tschannen, Commentaire de la LAT, n. 50 ad art. 3 LAT ).</w:t>
      </w:r>
    </w:p>
    <w:p>
      <w:r>
        <w:rPr>
          <w:b/>
        </w:rPr>
        <w:t>E. 2.3</w:t>
      </w:r>
    </w:p>
    <w:p>
      <w:r>
        <w:t>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w:t>
      </w:r>
    </w:p>
    <w:p>
      <w:r>
        <w:t>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101 Ia 213 consid. 6c p. 222 s.; 115 Ia 114 consid. 3d p. 119).</w:t>
      </w:r>
    </w:p>
    <w:p>
      <w:r>
        <w:rPr>
          <w:b/>
        </w:rPr>
        <w:t>E. 2.4</w:t>
      </w:r>
    </w:p>
    <w:p>
      <w:r>
        <w:t>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w:t>
      </w:r>
    </w:p>
    <w:p>
      <w:r>
        <w:rPr>
          <w:b/>
        </w:rPr>
        <w:t>E. 2.5</w:t>
      </w:r>
    </w:p>
    <w:p>
      <w:r>
        <w:t>En l'occurrence, le Tribunal cantonal a constaté, lors de son inspection locale, que le quartier dans lequel les constructions sont projetées est déjà fortement bâti, essentiellement de villas. Ce quartier d'habitation n'appartient pas à un périmètre nécessitant une protection spéciale et ne présente aucune particularité. Certes, comme l'ont mentionné les recourants, l'application de la clause d'esthétique n'est pas réservée à des sites protégés ou à des biens culturels reconnus. Il faut et il suffit que l'installation apparaisse déraisonnable compte tenu de son environnement. Cela étant, il ressort du dossier qu'au sud du périmètre prévu pour l'implantation des bâtiments, il existe plusieurs villas; à l'ouest, sont implantés de petits immeubles locatifs, comparables aux constructions projetées. Les villas des recourants sont, quant à elles, des constructions de deux étages sur rez. Ainsi, les trois constructions projetées s'intègrent dans le milieu bâti et n'apparaissent ni déraisonnables ni irrationnelles. La typologie de ces habitations ne porte pas atteinte à l'ensemble du quartier.</w:t>
      </w:r>
    </w:p>
    <w:p>
      <w:r>
        <w:t>Certes, l'immeuble C dont la hauteur est de 12.70 m, est plus haut que les deux autres immeubles et se trouve à proximité des villas des recourants. Mais cela ne suffit pas à rendre déraisonnable l'utilisation des possibilités de construire faite par l'intimée. Le projet est conforme aux prescriptions du règlement communal d'urbanisme qui prévoit une hauteur maximale des constructions dans cette zone de 15.70 m et permet précisément de concrétiser la réglementation de la zone concernée. Comme l'a souligné la cour cantonale, le fait que le bâtiment C dépasse de quelques mètres les bâtisses voisines n'a aucune influence déterminante sur l'harmonie de l'ensemble de la zone. Dans ces circonstances, les recourants ne font valoir aucun intérêt public prépondérant qui permettrait de refuser la construction du bâtiment C au motif que sa volumétrie contrasterait avec celles des bâtiments alentours. L'aspect monolithique dudit bâtiment au milieu d'un quartier d'habitation - que dénoncent les recourants - est une appréciation subjective du projet et n'est pas de nature à démontrer le caractère manifestement insoutenable de l'argumentation du Tribunal cantonal. Dans ces conditions, en considérant que le projet litigieux ne se heurtait à aucun obstacle qui découlerait de la clause d'esthétique contenue à l'art. 125 LATeC, le Tribunal cantonal n'a pas versé dans l'arbitraire.</w:t>
      </w:r>
    </w:p>
    <w:p>
      <w:r>
        <w:t>Les recourants se plaignent également de la perte d'ensoleillement et de vue en raison de l'édification du bâtiment C. Ils ne développent pas d'argumentation propre à cet égard, ne quantifient pas cette perte et n'invoquent pas une violation de la garantie de la propriété (cf. arrêt 1C_582/2012 du 9 juillet 2013 consid. 3 et 4). Dans ces circonstances, leur grief est irrecevable ( art. 106 al. 2 LTF ).</w:t>
      </w:r>
    </w:p>
    <w:p>
      <w:r>
        <w:rPr>
          <w:b/>
        </w:rPr>
        <w:t>E. 3</w:t>
      </w:r>
    </w:p>
    <w:p>
      <w:r>
        <w:t>Il s'ensuit que le recours doit être rejeté dans la mesure de sa recevabilité, aux frais des recourants qui succombent ( art. 65 et 66 al. 1 LTF ). Ceux-ci verseront en outre une indemnité à titre de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