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1C_51/2013 vom 9. August 2013</w:t>
      </w:r>
    </w:p>
    <w:p>
      <w:r>
        <w:t>Bundesgericht, 2013-08-09, FR</w:t>
      </w:r>
    </w:p>
    <w:p>
      <w:r>
        <w:rPr>
          <w:b/>
        </w:rPr>
        <w:t xml:space="preserve">Quelle: </w:t>
      </w:r>
      <w:r>
        <w:t>https://mcp.opencaselaw.ch/entscheid/bger_1C_51_2013</w:t>
      </w:r>
    </w:p>
    <w:p>
      <w:r>
        <w:t>FR: TF 1C_51/2013 du 9 août 2013</w:t>
      </w:r>
    </w:p>
    <w:p>
      <w:r>
        <w:t>IT: TF 1C_51/2013 del 9 agosto 2013</w:t>
      </w:r>
    </w:p>
    <w:p>
      <w:pPr>
        <w:pStyle w:val="Heading2"/>
      </w:pPr>
      <w:r>
        <w:t>Erwägungen</w:t>
      </w:r>
    </w:p>
    <w:p>
      <w:r>
        <w:rPr>
          <w:b/>
        </w:rPr>
        <w:t>E. 1</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 La recourante, qui a pris part à la procédure devant la Cour de justice, est particulièrement touchée par l'arrêt attaqué qui confirme que son appartement est soumis au contrôle des loyers. Elle a donc la qualité pour agir au sens de l' art. 89 al. 1 LTF .</w:t>
      </w:r>
    </w:p>
    <w:p>
      <w:r>
        <w:rPr>
          <w:b/>
        </w:rPr>
        <w:t>E. 2</w:t>
      </w:r>
    </w:p>
    <w:p>
      <w:r>
        <w:t>Dans un grief d'ordre formel qu'il convient d'examiner en premier lieu, la recourante se plaint d'une violation de son droit d'être entendue. Elle allègue que la note technique du DCTI, sur laquelle se sont fondés le TAPI puis la Cour de justice pour fixer l'état locatif après travaux, ne lui a jamais été communiquée.</w:t>
      </w:r>
    </w:p>
    <w:p>
      <w:r>
        <w:rPr>
          <w:b/>
        </w:rPr>
        <w:t>E. 2.1</w:t>
      </w:r>
    </w:p>
    <w:p>
      <w:r>
        <w:t>Le droit d'être entendu, tel qu'il est garanti par l' art. 29 al. 2 Cst. , comprend notamment le droit de consulter le dossier ( ATF 127 V 431 consid. 3a p. 436; 126 I 7 consid. 2b p. 10) qui s'étend à toutes les pièces décisives ( ATF 121 I 225 consid. 2a p. 227). Il en découle notamment que l'autorité qui verse au dossier de nouvelles pièces dont elle entend se prévaloir dans sa décision est tenue en principe d'en aviser les parties, même si elle estime que les documents en question ne contiennent aucun nouvel élément de fait ou de droit ( ATF 132 V 387 consid. 3 p. 388 s.). Le droit de consulter le dossier n'est en général accordé que sur demande ( ATF 132 V 387 consid. 6.2 p. 391 et les références) et si, pour garantir le droit d'être entendues des parties, l'autorité doit les informer du contenu de leur dossier et le tenir à leur disposition, elle ne doit pas systématiquement les inviter à venir le consulter (JAAC 1989 no 12 p. 69, consid. 3).</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137 I 195 consid. 2.3.2 p. 197 s.; 133 I 201 consid. 2.2 p. 204; 132 V 387 consid. 5.1 p. 390; 129 I 129 consid. 2.2.3 p. 135; 127 V 431 consid. 3d/aa p. 437 et les références citées).</w:t>
      </w:r>
    </w:p>
    <w:p>
      <w:r>
        <w:rPr>
          <w:b/>
        </w:rPr>
        <w:t>E. 2.2</w:t>
      </w:r>
    </w:p>
    <w:p>
      <w:r>
        <w:t>En l'espèce, le préavis du service juridique LDTR du département et la note technique détaillée y relative ont été rendus le 18 octobre 2011, dans le cadre de l'instruction de la requête de l'autorisation de construire qui a abouti à la décision du 11 novembre 2011. Il n'est pas contesté que ladite note n'a pas été transmise par le département à la recourante, laquelle affirme en avoir pris connaissance le 22 décembre 2011, dans le cadre de la procédure de recours auprès du TAPI (cf. recours du 4 mai 2012, ch. 11 de la partie "en fait").</w:t>
      </w:r>
    </w:p>
    <w:p>
      <w:r>
        <w:t>La Cour de Justice a estimé que le département n'avait pas violé le droit d'être entendu de la recourante. La note technique du 18 octobre 2011 figurait dans le dossier du département, que la recourante pouvait consulter en tout temps. Cette note n'était par ailleurs pas une pièce nouvelle et n'avait dès lors pas à être soumise à l'intéressée pour qu'elle puisse se déterminer à son sujet.</w:t>
      </w:r>
    </w:p>
    <w:p>
      <w:r>
        <w:t>Il est douteux que le raisonnement des juges cantonaux soit correct sur ce point. En effet, la note technique annexée au préavis du service juridique LDTR aurait dû être communiquée à la recourante lorsqu'elle a été versée au dossier; à tout le moins, l'intéressée aurait dû être informée de son existence avant la prise de décision du département, pour pouvoir cas échéant demander à la consulter. Cette question n'a toutefois pas besoin d'être examinée plus avant, puisque l'éventuelle violation du droit d'être entendu a été guérie durant la procédure de recours devant le TAPI: celui-ci a en effet un libre pouvoir d'examen en fait et en droit (cf. art. 61 al. 1 de la loi genevoise du 12 septembre 1985 sur la procédure administrative) et la recourante, ayant eu à ce moment-là connaissance de l'existence d'une note technique, aurait pu s'exprimer sur cette pièce, après avoir demandé de l'obtenir ou de consulter le dossier. N'ayant toutefois entrepris aucune démarche dans ce sens, la recourante est dès lors malvenue de se plaindre d'une violation de son droit d'être entendue, qu'elle s'est en réalité abstenue d'exercer devant le TAPI. L'intéressée a en outre pu s'exprimer à nouveau sur cette note dans le cadre de son recours à la Cour de justice. Mal fondé, le recours doit être rejeté sur ce point.</w:t>
      </w:r>
    </w:p>
    <w:p>
      <w:r>
        <w:rPr>
          <w:b/>
        </w:rPr>
        <w:t>E. 3</w:t>
      </w:r>
    </w:p>
    <w:p>
      <w:r>
        <w:t>La recourante se plaint ensuite d'une constatation inexacte des faits pertinents.</w:t>
      </w:r>
    </w:p>
    <w:p>
      <w:r>
        <w:rPr>
          <w:b/>
        </w:rPr>
        <w:t>E. 3.1</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w:t>
      </w:r>
    </w:p>
    <w:p>
      <w:r>
        <w:rPr>
          <w:b/>
        </w:rPr>
        <w:t>E. 3.2</w:t>
      </w:r>
    </w:p>
    <w:p>
      <w:r>
        <w:t>En l'espèce, comme la recourante ne soulève aucun grief au fond, relatif à une éventuelle mauvaise application du droit, on ne voit pas en quoi la rectification des faits pourrait avoir une incidence sur le sort de la cause. Quoi qu'il en soit, ses critiques sont de toute façon infondées.</w:t>
      </w:r>
    </w:p>
    <w:p>
      <w:r>
        <w:t>Selon la recourante, son appartement comporte cinq pièces et non pas quatre comme l'a retenu la Cour de justice. Cette dernière aurait dû comptabiliser deux pièces pour le séjour de 34,40 m2. Or, les juges cantonaux ont estimé que le séjour ne comptait que pour une pièce puisqu'il était éclairé par une seule baie vitrée. La recourante n'explique pas en quoi ce raisonnement serait arbitraire. L' art. 1 al. 5 let . c et al. 6 du règlement d'exécution du 24 août 1992 de la loi générale sur le logement et la protection des locataires (RLG) dispose certes que l'espace communautaire compte pour deux pièces lorsque sa surface est supérieure ou égale à 25 m2. Toutefois, comme l'a souligné le département dans ses déterminations du 20 février 2013, l'art. 52 al. 2 de la loi du 14 avril 1988 sur les constructions et les installations diverses (LCI) prévoit que toute pièce pouvant servir à l'habitation doit être aérée et éclairée par un jour vertical ouvrant sur l'extérieur. Dans ces conditions, la Cour de justice n'est pas tombée dans l'arbitraire en retenant que le séjour devait être comptabilisé comme une seule pièce et que l'appartement comportait ainsi quatre pièces, et non pas cinq. Cette constatation est d'autant moins insoutenable que la recourante a indiqué, dans le contrat de bail qu'elle a conclu avec les locataires D.________ et E.________, qu'il s'agissait d'un logement de quatre pièces, et que c'est également ce chiffre qui a été retenu dans la répartition statutaire des locaux annexée à la convention conclue en 1990 par la recourante et son époux avec le cédant.</w:t>
      </w:r>
    </w:p>
    <w:p>
      <w:r>
        <w:t>La recourante conteste également l'état locatif avant et après les travaux, tel qu'il a été établi dans l'arrêt attaqué. Elle reproche à la Cour de justice de n'avoir pris en compte que 40 % des fonds propres investis dans l'achat de l'appartement après leur réadaptation, alors qu'à son avis, la totalité des fonds propres réactualisés devait être comptabilisée. La recourante se contente d'opposer son opinion à celle des juges cantonaux, sans établir, ni même alléguer que la constatation des faits par la Cour de justice serait insoutenable. Or, pour retenir ce chiffre de 40 %, la Cour de justice s'est basée sur l' ATF 120 II 100 , où le Tribunal fédéral a jugé que, pour fixer le loyer en application de la méthode dite absolue, 40 % au maximum des fonds propres investis devaient être pris en considération. L'évaluation de l'état locatif avant les travaux par la Cour de justice ne saurait dès lors être tenue pour arbitraire.</w:t>
      </w:r>
    </w:p>
    <w:p>
      <w:r>
        <w:t>Enfin, la recourante fait grief à la Cour de justice d'avoir établi le coût des travaux à 140'533 fr. Ce montant n'est pas arbitraire, puisqu'il ressort des factures produites par l'intéressée, et que celle-ci admet d'ailleurs avoir effectivement payées. Sa critique est dès lors manifestement mal fondée.</w:t>
      </w:r>
    </w:p>
    <w:p>
      <w:r>
        <w:rPr>
          <w:b/>
        </w:rPr>
        <w:t>E. 4</w:t>
      </w:r>
    </w:p>
    <w:p>
      <w:r>
        <w:t>Il résulte de ce qui précède que le recours doit être rejeté, aux frais de la recourante qui succombe ( art. 65 et 66 al.1 LTF ). Celle-ci versera en outre une indemnité de dépens aux intimés qui obtiennent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