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1C_519/2017 vom 1. November 2017</w:t>
      </w:r>
    </w:p>
    <w:p>
      <w:r>
        <w:t>Bundesgericht, 2017-11-01, DE</w:t>
      </w:r>
    </w:p>
    <w:p>
      <w:r>
        <w:rPr>
          <w:b/>
        </w:rPr>
        <w:t xml:space="preserve">Quelle: </w:t>
      </w:r>
      <w:r>
        <w:t>https://mcp.opencaselaw.ch/entscheid/bger_1C_519_2017</w:t>
      </w:r>
    </w:p>
    <w:p>
      <w:r>
        <w:t>FR: TF 1C_519/2017 du 1 novembre 2017</w:t>
      </w:r>
    </w:p>
    <w:p>
      <w:r>
        <w:t>IT: TF 1C_519/2017 del 1 novembre 2017</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Der Beschwerdeführer ist der Auffassung, das Übermassverbot sei verletzt, weil der ersuchende Staat lediglich nach den sogenannten Katasterdaten der Bankkontoinhaber verlangt habe. Zudem habe ihn entgegen der Erwägungen im angefochtenen Entscheid keine Obliegenheit zur Mitwirkung bei der Ausscheidung von nicht relevanten Bankunterlagen getroffen.</w:t>
      </w:r>
    </w:p>
    <w:p>
      <w:r>
        <w:t>Das Bundesstrafgericht führt aus, dass für die Bestimmung des Umfangs der zu übermittelnden Aktenstücke deren potenzielle Erheblichkeit massgeblich sei. Dem ersuchenden Staat seien alle diejenigen Aktenstücke zu übermitteln, die sich auf den im Rechtshilfeersuchen dargelegten Sachverhalt beziehen; nicht zu übermitteln sei nur, was für das ausländische Strafverfahren mit Sicherheit nicht erheblich sei. Dabei dürfe die Behörde über das Rechtshilfeersuchen zwar nicht hinausgehen, sie dürfe dieses aber nach Massgabe des Zwecks weit auslegen. Ziele das Rechtshilfeersuchen auf die Ermittlung des Wegs ab, auf dem Geldmittel möglicherweise strafbarer Herkunft verschoben worden seien, so seien die Behörden des ersuchenden Staats grundsätzlich über alle Transaktionen zu informieren, die über in die Angelegenheit verwickelte Konten getätigt worden seien.</w:t>
      </w:r>
    </w:p>
    <w:p>
      <w:r>
        <w:t>Diese Ausführungen entsprechen der bundesgerichtlichen Rechtsprechung ( BGE 136 IV 82 E. 4 S. 85 ff.; 128 II 407 E. 6.3.1 S. 422 f.; 129 II 462 E. 5.3 S. 467 f.; je mit Hinweisen). Wenn das Bundesstrafgericht im vorliegenden Fall das Rechtshilfeersuchen in dem Sinne auslegt, dass um umfassende Angaben über jene Konten ersucht wird, von denen die erwähnten Transfers stammen, ist dies nicht bundesrechtswidrig.</w:t>
      </w:r>
    </w:p>
    <w:p>
      <w:r>
        <w:t>Offen bleiben kann damit, ob der Beschwerdeführer darüber hinaus seine Mitwirkungsobliegenheit verletzt hat.</w:t>
      </w:r>
    </w:p>
    <w:p>
      <w:r>
        <w:t>Eine rechtliche Grundsatzfrage stellt sich mithin nicht. Auch sonst bringt der Beschwerdeführer nichts vor, was es rechtfertigen könnte, den vorliegenden Fall als besonders bedeutend einzustufen.</w:t>
      </w:r>
    </w:p>
    <w:p>
      <w:r>
        <w:rPr>
          <w:b/>
        </w:rPr>
        <w:t>E. 2</w:t>
      </w:r>
    </w:p>
    <w:p>
      <w:r>
        <w:t>Auf die Beschwerde ist aus den genannten Gründen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