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1C_517/2020 vom 28. September 2020</w:t>
      </w:r>
    </w:p>
    <w:p>
      <w:r>
        <w:t>Bundesgericht, 2020-09-28, DE</w:t>
      </w:r>
    </w:p>
    <w:p>
      <w:r>
        <w:rPr>
          <w:b/>
        </w:rPr>
        <w:t xml:space="preserve">Quelle: </w:t>
      </w:r>
      <w:r>
        <w:t>https://mcp.opencaselaw.ch/entscheid/bger_1C_517_2020</w:t>
      </w:r>
    </w:p>
    <w:p>
      <w:r>
        <w:t>FR: TF 1C_517/2020 du 28 septembre 2020</w:t>
      </w:r>
    </w:p>
    <w:p>
      <w:r>
        <w:t>IT: TF 1C_517/2020 del 28 settembre 2020</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Beschwerdeführerin die Beschwerde in französischer Sprache eingereicht hat.</w:t>
      </w:r>
    </w:p>
    <w:p>
      <w:r>
        <w:rPr>
          <w:b/>
        </w:rPr>
        <w:t>E. 2.1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S. 104 f.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Beschlagnahme sowie eine Übermittlung von Informationen aus dem Geheimbereich und damit um Sachgebiete, bei denen insoweit die Beschwerde nach Art. 84 Abs. 1 BGG möglich ist. Entgegen der Auffassung der Beschwerdeführerin handelt es sich jedoch um keinen besonders bedeutenden Fall.</w:t>
      </w:r>
    </w:p>
    <w:p>
      <w:r>
        <w:t>Die Vorinstanz hat sich mit den Einwänden der Beschwerdeführerin einlässlich auseinandergesetzt. Die vorinstanzlichen Erwägungen, auf die gemäss Art. 109 Abs. 3 BGG verwiesen werden kann, stützen sich auf die bundesgerichtliche Rechtsprechung und überzeugen. Dies gilt insbesondere, soweit die Vorinstanz die Verhältnismässigkeit der Rechtshilfe bejaht und dabei namentlich das Vorbringen der Beschwerdeführerin, das in Brasilien gegen C.________ geführte Strafverfahren sei aufgrund einer Vereinbarung zwischen diesem und der dortigen Staatsanwaltschaft inzwischen beendet, als unmassgeblich beurteilt hat (angefochtener Entscheid E. 6 S. 9 ff.). Zum einen bildet das Strafverfahren gegen C.________ lediglich Teil des im Rechtshilfeersuchen genannten umfangreichen Verfahrens gegen zahlreiche weitere Personen; die herauszugebenden Bankunterlagen sind insoweit potentiell erheblich. Zum andern hat die schweizerische Rechtshilfebehörde ohnehin keinen Anlass, die Tragweite der geltend gemachten Vereinbarung zwischen C.________ und der brasilianischen Staatsanwaltschaft zu interpretieren. Solange die ersuchende Behörde, wie hier, das Rechtshilfeersuchen nicht zurückgezogen hat, ist es zu vollziehen. Dies entspricht der ständigen bundesgerichtlichen Rechtsprechung (vgl. Urteile 1C_618/2019 vom 29. November 2019 E. 2.2; 1C_640/2013 vom 25. Juli 2013 E. 1.2; 1C_284/2011 vom 18. Juli 2011 E. 1; je mit Hinweisen). Die Beschwerdeführerin bringt nichts vor, was es rechtfertigen könnte, darauf zurückzukommen. Der vorliegenden Angelegenheit kommt keine aussergewöhnliche Tragweite zu. Für das Bundesgericht besteht daher kein Grund, die Sache an die Hand zu nehmen.</w:t>
      </w:r>
    </w:p>
    <w:p>
      <w:r>
        <w:t>Die Beschwerde ist demnach unzulässig.</w:t>
      </w:r>
    </w:p>
    <w:p>
      <w:r>
        <w:rPr>
          <w:b/>
        </w:rPr>
        <w:t>E. 3</w:t>
      </w:r>
    </w:p>
    <w:p>
      <w:r>
        <w:t>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