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517/2018 vom 4. April 2019</w:t>
      </w:r>
    </w:p>
    <w:p>
      <w:r>
        <w:t>Bundesgericht, 2019-04-04, DE</w:t>
      </w:r>
    </w:p>
    <w:p>
      <w:r>
        <w:rPr>
          <w:b/>
        </w:rPr>
        <w:t xml:space="preserve">Quelle: </w:t>
      </w:r>
      <w:r>
        <w:t>https://mcp.opencaselaw.ch/entscheid/bger_1C_517_2018</w:t>
      </w:r>
    </w:p>
    <w:p>
      <w:r>
        <w:t>FR: TF 1C 517/2018 du 4 avril 2019</w:t>
      </w:r>
    </w:p>
    <w:p>
      <w:r>
        <w:t>IT: TF 1C 517/2018 del 4 aprile 2019</w:t>
      </w:r>
    </w:p>
    <w:p>
      <w:pPr>
        <w:pStyle w:val="Heading2"/>
      </w:pPr>
      <w:r>
        <w:t>Regeste</w:t>
      </w:r>
    </w:p>
    <w:p>
      <w:r>
        <w:t>Planverfahren betr. Parzelle Nr. 1405, GB Speicher; Besetzung des Gerichts | Raumplanung und öffentliches Baurecht</w:t>
      </w:r>
    </w:p>
    <w:p>
      <w:pPr>
        <w:pStyle w:val="Heading2"/>
      </w:pPr>
      <w:r>
        <w:t>Erwägungen</w:t>
      </w:r>
    </w:p>
    <w:p>
      <w:r>
        <w:rPr>
          <w:b/>
        </w:rPr>
        <w:t>E. 1</w:t>
      </w:r>
    </w:p>
    <w:p>
      <w:r>
        <w:t>Angefochten ist ein Zwischenentscheid, der die Besetzung des Gerichts betrifft.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1B_517/2017 vom 13. März 2018 E. 1 mit Hinweis, nicht publ. in BGE 144 I 70 ). Die Beschwerdeführerin ist als Partei des obergerichtlichen Verfahrens zur Beschwerde legitimiert ( Art. 89 Abs. 1 BGG ). Auf die Beschwerde ist daher grundsätzlich einzutreten.</w:t>
      </w:r>
    </w:p>
    <w:p>
      <w:r>
        <w:rPr>
          <w:b/>
        </w:rPr>
        <w:t>E. 2</w:t>
      </w:r>
    </w:p>
    <w:p>
      <w:r>
        <w:t>In der Sache ist streitig, ob B.________ nach seinem vorzeitigen Ruhestand am 30. September 2017 noch als Gerichtsschreiber im hängigen Verfahren vor Obergericht amtieren durfte. Die Beschwerdeführerin rügt überdies eine Verletzung von Ausstandsregeln (Art. 8 Abs. 1 i.V.m. Art. 59 des kantonalen Gesetzes über die Verwaltungsrechtspflege vom 9. September 2002 [VRPG/AR; gBS 143.1] sowie Art. 30 BV und Art. 6 EMRK ), weil B.________ nicht am Zwischenentscheid über seine eigene Teilnahme am Verfahren hätte mitwirken dürfen. Diese Rüge ist vorab zu prüfen.</w:t>
      </w:r>
    </w:p>
    <w:p>
      <w:r>
        <w:rPr>
          <w:b/>
        </w:rPr>
        <w:t>E. 2.1</w:t>
      </w:r>
    </w:p>
    <w:p>
      <w:r>
        <w:t>Nach Art. 30 Abs. 1 BV und Art. 6 Ziff. 1 EMRK hat jede Person Anspruch darauf, dass ihre Sache von einem unparteiischen, unvoreingenommenen und unbefangenen Richter ohne Einwirken sachfremder Umstände entschieden wird. Diese Garantien sind auch auf Gerichtsschreiberinnen und Gerichtsschreiber einer richterlichen Behörde anwendbar, sofern diese an der Willensbildung des Spruchkörpers mitwirken ( BGE 125 V 499 E. 2b S. 501 mit Hinweisen). Dies ist im Kanton Appenzell Ausserrhoden unstreitig der Fall (vgl. Art. 33 Abs. 2 des kantonalen Justizgesetzes vom 13. September 2010 [JG/AR; bGS 145.31]).</w:t>
      </w:r>
    </w:p>
    <w:p>
      <w:r>
        <w:rPr>
          <w:b/>
        </w:rPr>
        <w:t>E. 2.2</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 BGE 140 I 240 E. 2.2 S. 242 ; 137 I 227 E. 2.1 S. 229; je mit Hinweisen). Nicht verlangt wird, dass der Richter oder Gerichtsschreiber tatsächlich voreingenommen ist, sondern es genügt der objektiv gerechtfertigte Anschein.</w:t>
      </w:r>
    </w:p>
    <w:p>
      <w:r>
        <w:rPr>
          <w:b/>
        </w:rPr>
        <w:t>E. 2.3</w:t>
      </w:r>
    </w:p>
    <w:p>
      <w:r>
        <w:t>Nach ständiger Rechtsprechung ist ein Richter oder Gerichtsschreiber insbesondere als befangen anzusehen, wenn er über ein gegen ihn gerichtetes Ausstands- oder Ablehnungsgesuch entscheidet bzw. am Entscheid über ein solches Gesuch mitwirkt, weil niemand unparteiischer Richter in eigener Sache sein könne ( BGE 114 Ia 153 E. 3a/aa S. 156). Eine Ausnahme von dieser Regel wird anerkannt, wenn kein nach Massgabe des Gesetzes geeigneter Ausstandsgrund geltend gemacht wird oder das Ausstandsgesuch als rechtsmissbräuchlich erscheint ( BGE 114 Ia 278 E. 1 S. 278 f.; Urteil 5A_605/ 2013 vom 11. November 2013 E. 3.5 mit Hinweisen). Wird dagegen kein Ausstandsgesuch gestellt, sondern geltend gemacht, der Spruchkörper sei nicht ordnungsgemäss besetzt, weil das Zuteilungsverfahren verfassungswidrig sei, so entscheidet das Bundesgericht praxisgemäss vorfrageweise, in der vorgesehenen Besetzung, über diesen Einwand (vgl. BGE 144 I 37 E. 2 S. 38 ff.; in BGE 144 I 70 nicht publizierte E. 2).</w:t>
      </w:r>
    </w:p>
    <w:p>
      <w:r>
        <w:rPr>
          <w:b/>
        </w:rPr>
        <w:t>E. 2.4</w:t>
      </w:r>
    </w:p>
    <w:p>
      <w:r>
        <w:t>Vorliegend machte die Beschwerdeführerin vor Obergericht nicht geltend, dass B.________ befangen sei, sondern sie vertrat die Auffassung, dieser sei nicht mehr Teil des Spruchkörpers, weil sein Anstellungsvertrag mit dem Obergericht erloschen sei. Es handelte sich somit nicht um ein Ausstandsgesuch, sondern um ein Gesuch betreffend die Zusammensetzung des Gerichts. Diese Rüge betraf jedoch nicht das Zuteilungsverfahren oder die Gerichtsorganisation als solche, sondern den rechtlichen Status einer einzigen Person und deren Mitwirkung am Verfahren. Betroffen war somit nicht das Gesamtgericht (wie in den Entscheiden BGE 144 I 37 und 70), sondern nur B.________. War dieser vom Zwischenentscheid über die Zusammensetzung des Spruchkörpers somit in besonderer Weise betroffen, war dies objektiv geeignet, Zweifel an seiner Unvoreingenommenheit zu wecken. Das Gesuch der Beschwerdeführerin kann auch nicht als rechtsmissbräuchlich bezeichnet werden: Nachdem das Obergericht in seinem amtlichen Rechenschaftsbericht 2017 über den vorzeitigen Ruhestand von B.________ per 1. Oktober 2017 informiert hatte und dieser im Staatskalender 2018 nicht mehr als Gerichtsschreiber aufgeführt wurde, war es legitim und jedenfalls nicht rechtsmissbräuchlich, dessen weitere Mitwirkung am Verfahren in Frage zu stellen. Unter diesen Umständen verletzte die Mitwirkung von B.________ am Entscheid über seine Zugehörigkeit zum Spruchkörper Art. 30 BV und Art. 6 EMRK .</w:t>
      </w:r>
    </w:p>
    <w:p>
      <w:r>
        <w:rPr>
          <w:b/>
        </w:rPr>
        <w:t>E. 3</w:t>
      </w:r>
    </w:p>
    <w:p>
      <w:r>
        <w:t>Ein unter Missachtung von Ausstandsvorschriften zustande gekommener Entscheid ist grundsätzlich unabhängig von seiner inhaltlichen Richtigkeit aufzuheben (Urteil 2A.364/1995 vom 14. Februar 1997 E. 4, in: ZBl 99/1998 S. 289; Pra 1997 Nr. 118 S. 631 mit Hinweisen). Vorliegend ist eine Heilung im Übrigen schon aufgrund der engeren Kognition des Bundesgerichts ausgeschlossen. Die Sache ist daher ans Obergericht zurückzuweisen, um unter Mitwirkung eines anderen Gerichtsschreibers erneut darüber zu entscheiden, ob B.________ am Verfahren O4V 13 15 als Gerichtsschreiber fungieren darf und, falls nein, ob die unter seiner Mitwirkung erlassenen Beschlüsse und Verfügungen seit 1. Oktober 2017 nichtig oder aufzuheben sind. Zu diesen Verfügungen zählen auch die Beweismassnahmen in Disp.-Ziff. 2-4 des angefochtenen Zwischenentscheids: Diese sind (nur) aufzuheben, wenn B.________ nicht als Gerichtsschreiber am Verfahren mitwirken darf. Dies ist vom Obergericht und nicht vom Bundesgericht zu entscheiden. Aufzuheben ist daher einzig Disp.-Ziff. 1 des angefochtenen Zwischenbeschlusses; über den Bestand der übrigen Disp.-Ziff. wird das Obergericht entscheiden müssen.</w:t>
      </w:r>
    </w:p>
    <w:p>
      <w:r>
        <w:rPr>
          <w:b/>
        </w:rPr>
        <w:t>E. 4</w:t>
      </w:r>
    </w:p>
    <w:p>
      <w:r>
        <w:t>Nach dem Gesagten ist die Beschwerde gutzuheissen, Disp.-Ziff. 1 des angefochtenen Zwischenentscheids aufzuheben und die Sache zu neuem Entscheid im Sinne der Erwägungen an das Obergericht zurückzuweisen. Bei diesem Ausgang des Verfahrens obsiegt der Beschwerdeführer und hat Anspruch auf eine Parteientschädigung ( Art. 68 BGG ). Da sich die Gemeinde Speicher nicht geäussert und insbesondere keinen Antrag gestellt hat, hat der Kanton die Parteientschädigung zu bezahlen.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