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1C_517/2010 vom 7. März 2011</w:t>
      </w:r>
    </w:p>
    <w:p>
      <w:r>
        <w:t>Bundesgericht, 2011-03-07, FR</w:t>
      </w:r>
    </w:p>
    <w:p>
      <w:r>
        <w:rPr>
          <w:b/>
        </w:rPr>
        <w:t xml:space="preserve">Quelle: </w:t>
      </w:r>
      <w:r>
        <w:t>https://mcp.opencaselaw.ch/entscheid/bger_1C_517_2010</w:t>
      </w:r>
    </w:p>
    <w:p>
      <w:r>
        <w:t>FR: TF 1C_517/2010 du 7 mars 2011</w:t>
      </w:r>
    </w:p>
    <w:p>
      <w:r>
        <w:t>IT: TF 1C_517/2010 del 7 marzo 2011</w:t>
      </w:r>
    </w:p>
    <w:p>
      <w:pPr>
        <w:pStyle w:val="Heading2"/>
      </w:pPr>
      <w:r>
        <w:t>Erwägungen</w:t>
      </w:r>
    </w:p>
    <w:p>
      <w:r>
        <w:rPr>
          <w:b/>
        </w:rPr>
        <w:t>E. 1</w:t>
      </w:r>
    </w:p>
    <w:p>
      <w:r>
        <w:t>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la recourante possède la qualité pour recourir au sens de l' art. 89 al. 1 LTF et les conditions formelles de recevabilité sont remplies, de sorte qu'il y a lieu d'entrer en matière.</w:t>
      </w:r>
    </w:p>
    <w:p>
      <w:r>
        <w:rPr>
          <w:b/>
        </w:rPr>
        <w:t>E. 2</w:t>
      </w:r>
    </w:p>
    <w:p>
      <w:r>
        <w:t>Dans un premier grief, la recourante se plaint d'une constatation manifestement inexacte des faits au sens de l' art. 97 al. 1 LTF .</w:t>
      </w:r>
    </w:p>
    <w:p>
      <w:r>
        <w:rPr>
          <w:b/>
        </w:rPr>
        <w:t>E. 2.1</w:t>
      </w:r>
    </w:p>
    <w:p>
      <w:r>
        <w:t>Le Tribunal fédéral statue en principe sur la base des faits établis par l'autorité précédente ( art. 105 al. 1 LTF ), sous réserve des cas prévus à l' art. 105 al. 2 LTF . Selon l' art. 97 al. 1 LTF , le recourant ne peut critiquer la constatation de faits que si ceux-ci ont été établis de manière manifestement inexacte - notion qui correspond à celle d'arbitraire au sens de l' art. 9 Cst. ( ATF 134 V 53 consid. 4.3 p. 62) - ou en violation du droit au sens de l' art. 95 LTF , et si la correction du vice est susceptible d'influer sur le sort de la cause.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134 I 263 consid. 3.1 p. 265 s.; 133 I 149 consid. 3.1 p. 153 et les références).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et les arrêts cités).</w:t>
      </w:r>
    </w:p>
    <w:p>
      <w:r>
        <w:rPr>
          <w:b/>
        </w:rPr>
        <w:t>E. 2.2</w:t>
      </w:r>
    </w:p>
    <w:p>
      <w:r>
        <w:t>En l'occurrence, la recourante fait grief au Tribunal administratif fédéral d'avoir fondé sa décision sur une constatation de l'ODM selon laquelle elle était déjà séparée de son époux au moment de la signature de la déclaration de vie commune le 30 août 2004. Elle fait grand cas de la reprise par l'ODM d'une phrase de son époux relevant qu'elle avait dans un premier temps refusé de divorcer afin de protéger ses intérêts. Elle perd cependant de vue que le Tribunal administratif fédéral n'a pas repris cette déclaration dans ses considérants en droit et qu'il ne fonde aucunement sa décision sur celle-ci. L'arrêt attaqué mentionne de nombreux autres éléments pour établir que la communauté conjugale n'était pas effective, stable et tournée vers l'avenir au moment de la signature de la déclaration précitée et de l'octroi de la naturalisation facilitée. Or, la recourante ne démontre pas en quoi ces faits auraient été constatés de manière arbitraire au sens de la jurisprudence susmentionnée. En effet, ses critiques concernent pour l'essentiel l'appréciation de ces faits et elles se confondent avec le grief tiré d'une violation de l' art. 41 LN examiné ci-après.</w:t>
      </w:r>
    </w:p>
    <w:p>
      <w:r>
        <w:rPr>
          <w:b/>
        </w:rPr>
        <w:t>E. 3</w:t>
      </w:r>
    </w:p>
    <w:p>
      <w:r>
        <w:t>Invoquant une "application arbitraire de l' art. 41 LN ", la recourante reproche aux juges précédents d'avoir abusé de leur pouvoir d'appréciation en remettant en question la communauté conjugale qu'elle formait avec son époux.</w:t>
      </w:r>
    </w:p>
    <w:p>
      <w:r>
        <w:rPr>
          <w:b/>
        </w:rPr>
        <w:t>E. 3.1</w:t>
      </w:r>
    </w:p>
    <w:p>
      <w:r>
        <w:t>L' art. 27 LN permet à un étranger d'obtenir la naturalisation facilitée en raison de son mariage avec un ressortissant suisse, à certaines conditions. Conformément à l' art. 41 al. 1 LN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rPr>
          <w:b/>
        </w:rPr>
        <w:t>E. 3.2</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w:t>
      </w:r>
    </w:p>
    <w:p>
      <w:r>
        <w:t>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166; arrêt 1C_199/ 2008 du 8 juillet 2009 consid. 3.2 et les références).</w:t>
      </w:r>
    </w:p>
    <w:p>
      <w:r>
        <w:rPr>
          <w:b/>
        </w:rPr>
        <w:t>E. 3.3</w:t>
      </w:r>
    </w:p>
    <w:p>
      <w:r>
        <w:t>Selon la jurisprudence, une présomption de fait selon laquelle la communauté conjugale n'était pas stable lors de l'octroi de la naturalisation peut être admise si la séparation des époux intervient quelques mois plus tard (cf. ATF 135 II 161 consid. 4.3 p. 168; 130 II 482 consid. 3.3 p. 486 s.). En l'occurrence, il s'est écoulé moins d'un mois entre l'octroi de la naturalisation et la séparation officielle des époux le 1er décembre 2004, de sorte que la présomption susmentionnée peut être admise. La recourante tente de renverser cette présomption en insistant sur le caractère sincère de l'union conjugale et en expliquant que la constitution de résidences séparées dès le 1er juillet 2003 n'avait pas remis en cause la réalité des "liens affectifs" des époux, ce que l'office fédéral compétent avait d'ailleurs admis en lui octroyant la naturalisation facilitée. Les relations entre les conjoints se seraient envenimées dès le mois de décembre 2004, pour des motifs d'ordre financier qui auraient finalement eu raison de la "volonté de survie du couple".</w:t>
      </w:r>
    </w:p>
    <w:p>
      <w:r>
        <w:t>Il convient de rappeler que le sérieux de l'union avant la demande de naturalisation n'est pas déterminant. Ce qui importe, c'est que le couple soit encore stable et tourné vers l'avenir au moment de cette requête, respectivement au moment de l'octroi de la naturalisation facilitée. L'exigence d'une "communauté conjugale" au sens de l' art. 27 al. 1 let . c LN présuppose en effet l'existence d'une véritable communauté de vie des conjoints, qui ne peut exister qu'avec une volonté commune et intacte de ceux-ci de maintenir une union conjugale stable ( ATF 135 II 161 consid. 2 p. 165; 128 II 97 consid. 3a p. 99 et les arrêts cités).</w:t>
      </w:r>
    </w:p>
    <w:p>
      <w:r>
        <w:t>S'il est vrai qu'il ne saurait être question d'imposer aux candidats à la naturalisation facilitée une sorte de modèle idéal de couple, il faut néanmoins qu'ils forment une communauté conjugale effective et que celle-ci présente un minimum de stabilité et apparaisse tournée vers l'avenir. Or, sur la base des éléments figurant au dossier, l'autorité intimée pouvait considérer que le couple de la recourante ne présentait pas ces caractéristiques au moment de la signature de la déclaration du 30 août 2004 et de l'octroi de la naturalisation le 10 novembre 2004. On peut notamment relever à ce égard que l'époux de la recourante a déclaré qu'il lui avait demandé de "quitter le domicile conjugal" durant l'été 2003 déjà, pour un différend d'ordre financier reconnu par l'intéressée. Il apparaît en effet plausible que le manque de participation de la recourante aux dépenses communes était pour l'époux un "problème lancinant", qui existait bien avant décembre 2004 et qui avait finalement conduit les époux à se constituer des domiciles séparés. Au moment de la signature de la déclaration précitée et de l'octroi de la naturalisation, les époux vivaient donc séparés et ils connaissaient un différend relativement important. Il est donc pour le moins vraisemblable qu'à cette époque la communauté conjugale n'était pas harmonieuse, intacte et tournée vers l'avenir, même si une réconciliation n'était pas nécessairement exclue. La recourante a du reste été invitée à produire des pièces attestant de la réalité de l'union conjugale à cette période, mais elle n'a pas été en mesure de le faire.</w:t>
      </w:r>
    </w:p>
    <w:p>
      <w:r>
        <w:t>En définitive, le Tribunal administratif fédéral est resté dans les limites de son pouvoir d'appréciation en estimant que la recourante n'avait pas renversé la présomption susmentionnée en rendant vraisemblable la survenance d'un événement susceptible d'expliquer une détérioration soudaine et rapide du lien conjugal. Il pouvait donc sans arbitraire considérer comme vraisemblable que la dégradation du couple était plutôt le fruit d'un processus relativement long, qui était déjà entamé au moment de la signature de la déclaration précitée, ce qui pouvait difficilement échapper à la recourante. Dans ces conditions, l'annulation de la naturalisation facilitée ne viole pas les art. 27 et 41 LN , elle ne procède pas d'un abus du pouvoir d'appréciation et elle n'est pas arbitraire, de sorte que ce grief doit lui aussi être rejeté.</w:t>
      </w:r>
    </w:p>
    <w:p>
      <w:r>
        <w:rPr>
          <w:b/>
        </w:rPr>
        <w:t>E. 4</w:t>
      </w:r>
    </w:p>
    <w:p>
      <w:r>
        <w:t>Dans un dernier grief, la recourante invoque de manière générale une violation du principe de la proportionnalité. On ignore toutefois le fondement juridique de son argumentation, l'intéressée ne précisant notamment pas si elle entend se prévaloir d'une restriction d'un droit fondamental au sens de l' art. 36 al. 3 Cst. Elle se livre à une analogie avec le droit des constructions, qui permet dans certains cas de renoncer à un ordre de démolition. L'annulation de la naturalisation facilitée obéit cependant à des règles différentes, qui accordent une importance particulière à la relation de confiance avec l'administré. Si celui-ci trahit cette confiance, en adoptant un comportement déloyal et trompeur, l' art. 41 al. 1 LN donne à l'office compétent la faculté d'annuler la naturalisation facilitée, les fondements de celle-ci n'étant plus réunis. Par conséquent, si des déclarations mensongères ou la dissimulation de faits essentiels peut être retenue en vertu des règles susmentionnées (cf. supra consid. 3), on ne voit pas à quel titre le principe de la proportionnalité pourrait encore être invoqué. La recourante ne précise au demeurant pas quelle autre mesure moins incisive permettrait d'atteindre les buts visés par la législation sur la nationalité. En définitive, il n'est pas possible d'entrer en matière sur cette question, faute de grief répondant aux exigences déduites de l' art. 106 al. 2 LTF (cf. ATF 133 II 249 consid de 1.4.2 p. 254 et les références citées).</w:t>
      </w:r>
    </w:p>
    <w:p>
      <w:r>
        <w:rPr>
          <w:b/>
        </w:rPr>
        <w:t>E. 5</w:t>
      </w:r>
    </w:p>
    <w:p>
      <w:r>
        <w:t>Il s'ensuit que le recours doit être rejeté, dans la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