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516/2013 vom 22. Januar 2014</w:t>
      </w:r>
    </w:p>
    <w:p>
      <w:r>
        <w:t>Bundesgericht, 2014-01-22, DE</w:t>
      </w:r>
    </w:p>
    <w:p>
      <w:r>
        <w:rPr>
          <w:b/>
        </w:rPr>
        <w:t xml:space="preserve">Quelle: </w:t>
      </w:r>
      <w:r>
        <w:t>https://mcp.opencaselaw.ch/entscheid/bger_1C_516_2013</w:t>
      </w:r>
    </w:p>
    <w:p>
      <w:r>
        <w:t>FR: TF 1C 516/2013 du 22 janvier 2014</w:t>
      </w:r>
    </w:p>
    <w:p>
      <w:r>
        <w:t>IT: TF 1C 516/2013 del 22 gennaio 2014</w:t>
      </w:r>
    </w:p>
    <w:p>
      <w:pPr>
        <w:pStyle w:val="Heading2"/>
      </w:pPr>
      <w:r>
        <w:t>Regeste</w:t>
      </w:r>
    </w:p>
    <w:p>
      <w:r>
        <w:t>Personendaten | Verwaltungsverfahren</w:t>
      </w:r>
    </w:p>
    <w:p>
      <w:pPr>
        <w:pStyle w:val="Heading2"/>
      </w:pPr>
      <w:r>
        <w:t>Erwägungen</w:t>
      </w:r>
    </w:p>
    <w:p>
      <w:r>
        <w:rPr>
          <w:b/>
        </w:rPr>
        <w:t>E. 1.1</w:t>
      </w:r>
    </w:p>
    <w:p>
      <w:r>
        <w:t>Beim angefochtenen Urteil handelt es sich um einen kantonal letztinstanzlichen Endentscheid im Bereich des öffentlich-rechtlichen Datenschutzes. Dagegen steht grundsätzlich die Beschwerde in öffentlich-rechtlichen Angelegenheiten an das Bundesgericht offen (vgl. Art. 82 lit. a, Art. 86 Abs. 1 lit. d und Art. 90 BGG ). Die Beschwerdeführerin ist als in den beanstandeten Protokollstellen genannte Person sowie als direkte Adressatin des angefochtenen Entscheids gemäss Art. 89 Abs. 1 BGG zur Beschwerde legitimiert.</w:t>
      </w:r>
    </w:p>
    <w:p>
      <w:r>
        <w:rPr>
          <w:b/>
        </w:rPr>
        <w:t>E. 1.2</w:t>
      </w:r>
    </w:p>
    <w:p>
      <w:r>
        <w:t>Mit der Beschwerde an das Bundesgericht kann, von hier nicht interessierenden Möglichkeiten abgesehen, nur die Verletzung von Bundesrecht geltend gemacht werden (vgl. Art. 95 lit. a BGG ). Die Auslegung und Anwendung von kantonalem Gesetzesrecht kann vom Bundesgericht hingegen nur auf Willkür hin überprüft werden.</w:t>
      </w:r>
    </w:p>
    <w:p>
      <w:r>
        <w:rPr>
          <w:b/>
        </w:rPr>
        <w:t>E. 1.3</w:t>
      </w:r>
    </w:p>
    <w:p>
      <w:r>
        <w:t>Gemäss Art. 42 Abs. 2 BGG ist in der Begründung in gedrängter Form darzulegen, inwiefern der angefochtene Akt Recht verletzt. Strengere Anforderungen gelten, wenn die Verletzung von Grundrechten (einschliesslich der willkürlichen Anwendung von kantonalem Recht) geltend gemacht wird. Dies prüft das Bundesgericht grundsätzlich nur insoweit, als eine solche Rüge in der Beschwerde vorgebracht und begründet worden ist ( Art. 106 Abs. 2 BGG ; vgl. BGE 133 II 249 E. 1.4 S. 254 f.).</w:t>
      </w:r>
    </w:p>
    <w:p>
      <w:r>
        <w:rPr>
          <w:b/>
        </w:rPr>
        <w:t>E. 2.1</w:t>
      </w:r>
    </w:p>
    <w:p>
      <w:r>
        <w:t>Die Beschwerdeführerin macht geltend, der angefochtene Entscheid sei willkürlich. Entgegen der Ansicht des Beschwerdegegners erfüllt diese Rüge die Voraussetzungen an die Beschwerdebegründung von Art. 42 Abs. 2 und Art. 106 Abs. 2 BGG .</w:t>
      </w:r>
    </w:p>
    <w:p>
      <w:r>
        <w:rPr>
          <w:b/>
        </w:rPr>
        <w:t>E. 2.2</w:t>
      </w:r>
    </w:p>
    <w:p>
      <w:r>
        <w:t>Nach der ständigen Praxis des Bundesgerichts liegt Willkür in der Rechtsanwendung nur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einzig auf, wenn nicht bloss die Begründung, sondern auch das Ergebnis unhaltbar ist. Dass eine andere Lösung ebenfalls als vertretbar oder gar zutreffender erscheint, genügt nicht ( BGE 134 II 124 E. 4.1 S. 133 ; 132 I 175 E. 1.2 S. 177 ; 131 I 467 E. 3.1 S. 473 f.; je mit Hinweisen).</w:t>
      </w:r>
    </w:p>
    <w:p>
      <w:r>
        <w:rPr>
          <w:b/>
        </w:rPr>
        <w:t>E. 2.3</w:t>
      </w:r>
    </w:p>
    <w:p>
      <w:r>
        <w:t>Nach § 1 Abs. 2 lit. b des zürcherischen Gesetzes vom 12. Februar 2007 über die Information und den Datenschutz (IDG) bezweckt das kantonale Datenschutzgesetz unter anderem, die Grundrechte von Personen zu schützen, über welche die öffentlichen Organe Daten bearbeiten. Dafür stellt das Gesetz verschiedene Massnahmen, wie das Recht auf Zugang zu Informationen (vgl. § 20 IDG), zur Verfügung. Dass dieser Zugang der Beschwerdeführerin im verlangten Umfang gewährt worden ist, wird von ihr allerdings nicht bestritten. Vielmehr beruft sie sich auf ihr Recht gemäss § 21 lit. a IDG, dass unrichtige Personendaten berichtigt oder vernichtet bzw. gemäss ihrem Antrag beseitigt werden.</w:t>
      </w:r>
    </w:p>
    <w:p>
      <w:r>
        <w:rPr>
          <w:b/>
        </w:rPr>
        <w:t>E. 2.4</w:t>
      </w:r>
    </w:p>
    <w:p>
      <w:r>
        <w:t>Die Vorinstanz ging davon aus, bei den protokollierten Ausführungen zum Verhalten der Beschwerdeführerin als VVX-Präsidentin handle es sich um dem Datenschutzgesetz unterstellte Personendaten nach § 3 Abs. 3 IDG. Diese Einschätzung ist unbestritten und entspricht Praxis und Lehre, wonach jede Information, die direkt oder indirekt, als Tatsachenfeststellung oder Werturteil, etwas über die Bezugsperson aussagen will, mithin einen auf eine Person bezogenen Informationsgehalt besitzt, zu den geschützten Personendaten zählt (vgl. etwa Beat Rudin, in: Baeriswyl/Rudin [Hrsg.], Praxiskommentar zum Informations- und Datenschutzgesetz des Kantons Zürich, 2012, § 3 N. 16).</w:t>
      </w:r>
    </w:p>
    <w:p>
      <w:r>
        <w:rPr>
          <w:b/>
        </w:rPr>
        <w:t>E. 2.5</w:t>
      </w:r>
    </w:p>
    <w:p>
      <w:r>
        <w:t>Ebenso wenig ist strittig, dass grundsätzlich auch Textpassagen in gemeinderätlichen Verhandlungsprotokollen, die dem Sitzungsgeheimnis unterliegen und der Öffentlichkeit als solcher nicht offen stehen (vgl. § 69 des zürcherischen Gemeindegesetzes vom 6. Juni 1926, GG), datenschutzrechtlich zugänglich sind. Das Verwaltungsgericht hielt dazu, unter Hinweis auf die Lehre (insbes. Bruno Baeriswyl, in: Baeriswyl/Rudin, a.a.O., § 23 N. 7; Rudin, a.a.O., § 20 N. 28) fest, der Umstand, dass spezialgesetzliche Regelungen wie das Sitzungsgeheimnis dem informationsrechtlichen Einsichtsanspruch der Öffentlichkeit entgegenstünden (vgl. § 23 Abs. 1 bzw. Abs. 2 lit. b IDG), bedeute nicht unbesehen, dass Gleiches auch für den individuellen datenschutzrechtlichen Einsichtsanspruch nach § 20 Abs. 2 IDG gelte. Das Gemeindegesetz schliesse lediglich den allgemeinen Informationszugang der Öffentlichkeit, nicht aber den datenschutzrechtlichen Zugang zu den eigenen Personendaten aus. Daran scheiterte demnach der Anspruch der Beschwerdeführerin nicht. Dieser ist die entsprechende Einsichtnahme in die gemeinderätlichen Protokolle im Übrigen ja auch gewährt worden. Die Vorinstanz ging jedoch davon aus, das Protokoll habe einzig über den Inhalt der gemeinderätlichen Verhandlung, nicht aber über die Richtigkeit der festgehaltenen Wortmeldungen Auskunft zu geben, weshalb es keinen Berichtigungs- bzw. Beseitigungsanspruch für wahrheitsgetreu wiedergegebene, allenfalls inhaltlich aber falsche Äusserungen gebe.</w:t>
      </w:r>
    </w:p>
    <w:p>
      <w:r>
        <w:rPr>
          <w:b/>
        </w:rPr>
        <w:t>E. 2.6</w:t>
      </w:r>
    </w:p>
    <w:p>
      <w:r>
        <w:t>Nach § 21 lit. a sind Personendaten zu berichtigen oder zu vernichten, wenn sie unrichtig sind.</w:t>
      </w:r>
    </w:p>
    <w:p>
      <w:r>
        <w:rPr>
          <w:b/>
        </w:rPr>
        <w:t>E. 2.6.1</w:t>
      </w:r>
    </w:p>
    <w:p>
      <w:r>
        <w:t>Bei Tatsachenfeststellungen ist die Richtigkeit objektiv überprüfbar; bei Werturteilen, wozu die subjektive Einschätzung persönlicher Eigenschaften oder Verhaltensformen anderer zählt, ist dies naturgemäss kaum oder jedenfalls nur bedingt möglich (vgl. BARBARA WIDMER, in: Baeriswyl/Rudin, a.a.O., § 21 N. 9; BEAT RUDIN, in: Rudin/Baeriswyl, Praxiskommentar zum Informations- und Datenschutzgesetz des Kantons Basel-Stadt, 2014, § 11 N. 2 ff.). Werden entsprechende Aussagen festgehalten, kommt es entscheidend auf den Zweck der Dokumentierung an. Nach § 68 Abs. 1 GG wird über die Verhandlungen jeder Gemeindebehörde ein Protokoll geführt. Dieses enthält sämtliche Beschlüsse, die Präsidialverfügungen und auf Verlangen die Anträge einzelner Mitglieder. Gemäss dem (zumindest stillschweigenden) Verständnis des Verwaltungsgerichts schliesst diese Bestimmung nicht aus, dass ein erweitertes Themenprotokoll als Verhandlungsprotokoll geführt wird, das zusammengefasst auch kurze Entscheidbegründungen und die geäusserten Wortmeldungen der Sitzungsteilnehmer enthält. Das ist nach der Rechtsprechung zu Protokollen von Gemeindeversammlungen in zürcherischen Gemeinden gemäss dem entsprechenden § 54 GG zulässig, soweit die Form einheitlich und gewahrt bleibt (vgl. das Urteil des Bundesgerichts 1C_28/2013 vom 27. Mai 2013 in ZBl 114/2013 S. 566, E. 2.2 und 2.3). Überdies dient es der Transparenz, der besseren Verständlichkeit der festgehaltenen Beschlüsse und dürfte wohl auch für die Protokollierung von Gemeinderatsverhandlungen verbreitet so umgesetzt werden. Im hier fraglichen Zusammenhang ist dies jedenfalls unter Willkürgesichtspunkten nicht zu beanstanden.</w:t>
      </w:r>
    </w:p>
    <w:p>
      <w:r>
        <w:rPr>
          <w:b/>
        </w:rPr>
        <w:t>E. 2.6.2</w:t>
      </w:r>
    </w:p>
    <w:p>
      <w:r>
        <w:t>Ziel der Protokollierung ist, wahrheitsgetreu das Ergebnis und, soweit ein erweitertes Verhandlungsprotokoll geführt wird, auch den Ablauf einer Verhandlung aufzuzeichnen (Urteil des Bundesgerichts 1C_28/2013 vom 27. Mai 2013 in ZBl 114/2013 S. 566, E. 2.3). Meinungsäusserungen und darin enthaltene Werturteile sind als solche zu kennzeichnen. Richtig ist das Protokoll also, wenn es die aufgenommenen Wortmeldungen, soweit es solche festhält oder zusammenfasst, und Beschlüsse zutreffend wiedergibt. Auf die inhaltliche Richtigkeit kommt es dabei nicht an. Das Verwaltungsgericht bezieht sich auf diese für Protokollberichtigungsbegehren gültige Rechtslage (vgl. H.R. THALMANN, Kommentar zum Zürcher Gemeindegesetz, 3. Aufl., 2000, S. 167, § 54 N. 8.1) und schliesst daraus, datenschutzrechtlich könne nichts anderes gelten. Das ist nicht unhaltbar. Der Datenschutz kann nicht die Funktion haben, wahrheitsgetreu geführte Protokolle, die nur die tatsächlich gemachten Wortmeldungen wiedergeben, abzuändern. Dadurch würde nicht nur die Protokollierung verfälscht, sondern es würden sogar mögliche Beweise für andere Verfahren vernichtet. In analoger Weise entschied das Bundesgericht im Urteil 1A.6/2001 vom 2. Mai 2001 E. 2 (publiziert in ZBl 103/2002 S. 331), dass die wahrheitsgetreue Wiedergabe eines früher geäusserten Verdachts nicht nachträglich korrigiert werden müsse, wenn sich dieser im Nachhinein als unberechtigt erweise. Dieses Urteil wurde zwar in der Lehre als falsch kritisiert ( URS MAURER-LAMBROU, in: Maurer-Lambrou/Vogt [Hrsg.], Basler Kommentar zum Datenschutzgesetz, 2. Aufl., 2006, Art. 5 N. 6 und 7), betraf aber ein Versicherungsdossier und nicht ein behördliches Protokoll. Jedenfalls wo eine gesetzliche auf Wahrheitstreue gerichtete Protokollierungspflicht besteht, kann nicht datenschutzrechtlich davon abgewichen werden, wenn ein korrekt wiedergegebenes Werturteil sich als inhaltlich falsch oder als ehrverletzend erweist. Vielmehr müssen hier andere Rechtsbehelfe greifen.</w:t>
      </w:r>
    </w:p>
    <w:p>
      <w:r>
        <w:rPr>
          <w:b/>
        </w:rPr>
        <w:t>E. 2.6.3</w:t>
      </w:r>
    </w:p>
    <w:p>
      <w:r>
        <w:t>Dass der Beschwerdeführerin kein Beseitigungsrecht zusteht, bedeutet nämlich nicht, dass sie von vornherein schutzlos wäre. So konnte sie ein Aufsichtsverfahren einleiten, das allerdings nicht zum von ihr gewünschten Ergebnis führte und das sie nicht weiter verfolgte. Grundsätzlich fielen bei inhaltlicher Widerrechtlichkeit der protokollierten Werturteile auch straf- oder haftungsrechtliche Folgen in Betracht (vgl. WIDMER, a.a.O., § 21 N. 7), wobei die Geltendmachung solcher Ansprüche allenfalls an gesetzlichen Immunitäten der Behördenmitglieder scheitern könnte, was alles jedoch nicht Gegenstand des vorliegenden Verfahrens bildet. Schliesslich ist auch nicht zu prüfen, ob bei protokollierten Werturteilen aus Gemeinderatsverhandlungen ein Bestreitungsvermerk im Sinne einer Gegendarstellung in Frage käme, wie dies in ähnlichem Zusammenhang vorgeschlagen wird oder sogar vorgesehen ist (vgl. etwa SANDRA HUSI, in: Rudin/ Baeriswyl, a.a.O., § 27 N. 17 f.; MAURER-LAMBROU, a.a.O., Art. 5 N. 6 und 10). Eine solche Gegendarstellung verlangt die Beschwerdeführerin im vorliegenden Verfahren nämlich gar nicht.</w:t>
      </w:r>
    </w:p>
    <w:p>
      <w:r>
        <w:rPr>
          <w:b/>
        </w:rPr>
        <w:t>E. 2.7</w:t>
      </w:r>
    </w:p>
    <w:p>
      <w:r>
        <w:t>Demnach verstösst der angefochtene Entscheid nicht gegen das Willkürverbot.</w:t>
      </w:r>
    </w:p>
    <w:p>
      <w:r>
        <w:rPr>
          <w:b/>
        </w:rPr>
        <w:t>E. 3.1</w:t>
      </w:r>
    </w:p>
    <w:p>
      <w:r>
        <w:t>Die Beschwerdeführerin bringt weiter vor, das Verwaltungsgericht habe ihr Recht auf informationelle Selbstbestimmung bzw. auf Schutz der Privatsphäre gemäss Art. 10 Abs. 2 und Art. 13 Abs. 2 BV verletzt. Auch dazu wendet der Beschwerdegegner ein, die Rüge sei nicht genügend begründet, weshalb darauf nicht einzutreten sei.</w:t>
      </w:r>
    </w:p>
    <w:p>
      <w:r>
        <w:rPr>
          <w:b/>
        </w:rPr>
        <w:t>E. 3.2</w:t>
      </w:r>
    </w:p>
    <w:p>
      <w:r>
        <w:t>Die Beschwerdeführerin leitet aus den genannten Verfassungsbestimmungen das Recht auf Beseitigung unrichtiger Personendaten ab. Ob die Beschwerdebegründung insofern die gesetzlichen Anforderungen erfüllt, kann offen bleiben. Die Beschwerdeführerin legt jedenfalls nicht rechtsgenüglich dar, inwiefern ein solcher verfassungsrechtlicher Beseitigungsanspruch auch für wahrheitsgetreu wiedergegebene Wortmeldungen in behördlichen, aufgrund einer entsprechenden gesetzlichen Pflicht erstellten Protokollen gelten sollte. Es ist aufgrund der Beschwerdeschrift nicht nachvollziehbar, dass das Verfassungsrecht den von der Beschwerdeführerin behaupteten Schutz bieten sollte.</w:t>
      </w:r>
    </w:p>
    <w:p>
      <w:r>
        <w:rPr>
          <w:b/>
        </w:rPr>
        <w:t>E. 3.3</w:t>
      </w:r>
    </w:p>
    <w:p>
      <w:r>
        <w:t>Auf die Rüge, Art. 10 Abs. 2 und Art. 13 Abs. 2 BV seien verletzt, kann daher nicht eingetreten werden.</w:t>
      </w:r>
    </w:p>
    <w:p>
      <w:r>
        <w:rPr>
          <w:b/>
        </w:rPr>
        <w:t>E. 4</w:t>
      </w:r>
    </w:p>
    <w:p>
      <w:r>
        <w:t>Die Beschwerde erweist sich als unbegründet und ist abzuweisen, soweit darauf einzutreten ist. Bei diesem Verfahrensausgang wird die unterliegende Beschwerdeführerin kostenpflichtig ( Art. 66 Abs. 1, Art. 65 BGG ). Praxisgemäss steht dem für die Gemeinde handelnden Gemeinderat X.________ keine Parteientschädigung zu (vgl. Art. 68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