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516/2012 vom 29. Juli 2013</w:t>
      </w:r>
    </w:p>
    <w:p>
      <w:r>
        <w:t>Bundesgericht, 2013-07-29, FR</w:t>
      </w:r>
    </w:p>
    <w:p>
      <w:r>
        <w:rPr>
          <w:b/>
        </w:rPr>
        <w:t xml:space="preserve">Quelle: </w:t>
      </w:r>
      <w:r>
        <w:t>https://mcp.opencaselaw.ch/entscheid/bger_1C_516_2012</w:t>
      </w:r>
    </w:p>
    <w:p>
      <w:r>
        <w:t>FR: TF 1C 516/2012 du 29 juillet 2013</w:t>
      </w:r>
    </w:p>
    <w:p>
      <w:r>
        <w:t>IT: TF 1C 516/2012 del 29 luglio 2013</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la naturalisation facilitée et non pas de la naturalisation ordinaire. Pour le surplus, le recourant possède la qualité pour recourir au sens de l' art. 89 al. 1 LTF et les conditions formelles de recevabilité sont remplies, de sorte qu'il y a lieu d'entrer en matière.</w:t>
      </w:r>
    </w:p>
    <w:p>
      <w:r>
        <w:rPr>
          <w:b/>
        </w:rPr>
        <w:t>E. 2</w:t>
      </w:r>
    </w:p>
    <w:p>
      <w:r>
        <w:t>Le recourant conteste avoir obtenu la naturalisation par des déclarations mensongères. Il reproche en particulier à l'autorité précédente d'avoir retenu que la relation adultérine avait eu lieu avant la signature de la déclaration de communauté conjugale. Il soutient qu'en réalité, cette relation était intervenue postérieurement et que dès lors sa paternité pouvait être considérée comme un événement extraordinaire expliquant la détérioration du lien conjugal.</w:t>
      </w:r>
    </w:p>
    <w:p>
      <w:r>
        <w:rPr>
          <w:b/>
        </w:rPr>
        <w:t>E. 2.1</w:t>
      </w:r>
    </w:p>
    <w:p>
      <w:r>
        <w:t>Le recourant ne peut critiquer la constatation des faits, susceptibles d'avoir une influence déterminante sur l'issue de la procédure, que si ceux-ci ont été établis de manière manifestement inexacte - notion qui correspond à celle d'arbitraire - ou en violation du droit au sens de l' art. 95 LTF , en particulier en violation de l'interdiction constitutionnelle de l'arbitraire ( art. 97 al. 1 LTF ; ATF 134 V 53 consid. 4.3 p. 62), ce qui signifie que le recourant doit formuler sa critique en respectant les exigences de motivation de l' art. 106 al. 2 LTF ( ATF 133 II 249 consid. 1.4.3 p. 254 s.).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Conformément à l' art. 41 al. 1 LN qui, sur le fond est identique à l' art. 41 LN dans son ancienne teneur, l'ODM peut, avec l'assentiment de l'autorité du canton d'origine, annuler la naturalisation ou la réintégration obtenue par des déclarations mensongères ou par la dissimulation de faits essentiels. L' art. 41 al. 1bis LN indique que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2.2.1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(ATF 135 Il 161 consid. 2 p. 165; 132 Il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 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 400 consid. 3.1 p. 403;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2.2.2</w:t>
      </w:r>
    </w:p>
    <w:p>
      <w:r>
        <w:t>La procédure administrative fédérale est réglée par le principe de la libre appréciation des preuves (art. 40 de la loi fédérale du 4 décembre 1947 de procédure civile fédérale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(ATF 135 Il 161 consid. 3 p. 166; 130 Il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ATF 135 Il 161consid. 3 p. 166; 132 Il 113 consid. 3.2 p. 115 s.), mais encore de son propre intérêt (ATF 130 Il 482 consid. 3.2 p. 485 s.). S'agissant d'une présomption de fait, qui ressortit à l'appréciation des preuves et ne modifie pas le fardeau de la preuve (ATF 135 Il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(ATF 135 Il 161 consid. 3 p. 165 s. et les arrêts cités).</w:t>
      </w:r>
    </w:p>
    <w:p>
      <w:r>
        <w:rPr>
          <w:b/>
        </w:rPr>
        <w:t>E. 2.3</w:t>
      </w:r>
    </w:p>
    <w:p>
      <w:r>
        <w:t>En l'espèce, le Tribunal administratif fédéral a considéré que le laps de temps extrêmement court qui s'était écoulé entre l'octroi de la naturalisation facilitée (le 11 mars 2008, décision entrée en force le 12 avril 2008), la prise d'un domicile séparé à Flamatt (le 16 mai 2008) et le dépôt de la demande commune de divorce (le 6 juin 2008) était de nature à fonder la présomption de fait que, conformément à la jurisprudence, la stabilité requise du mariage n'existait déjà plus au moment de la déclaration commune faite le 14 février 2008, à tout le moins lors du prononcé de la naturalisation facilitée intervenu le 11 mars 2008. En effet, moins de deux mois après la décision d'octroi de la naturalisation, le recourant a pris un domicile séparé (mai 2008). A peine un mois plus tard - trois mois depuis la naturalisation -, les époux ont déposé une requête commune de divorce (le 6 juin 2008); à cette date, le couple avait en outre déjà réglé tous les effets accessoires du divorce puisque la demande était accompagnée d'une convention sur lesdits effets. Le laps de temps particulièrement court entre l'octroi de la nationalité et la fin de la vie commune, suivie de la requête commune en divorce, de même que l'accord intervenu si rapidement entre les conjoints sur les effets accessoires du divorce parlent en faveur d'une détérioration de la relation conjugale peu après l'octroi de la naturalisation. Les éléments qui précèdent sont propres à fonder la présomption que la naturalisation du recourant a été obtenue frauduleusement. Il est en effet peu probable, dans les circonstances décrites ci-dessus, que le recourant ait pu avoir la conviction que sa communauté matrimoniale était stable, effective et tournée vers l'avenir au moment de la signature de la déclaration commune le 14 février 2008.</w:t>
      </w:r>
    </w:p>
    <w:p>
      <w:r>
        <w:rPr>
          <w:b/>
        </w:rPr>
        <w:t>E. 2.4</w:t>
      </w:r>
    </w:p>
    <w:p>
      <w:r>
        <w:t>Les délais de prescription étant sauvegardés, il convient donc de déterminer, conformément à la jurisprudence, si l'intéressé est parvenu à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A cet égard, le recourant expose que la relation extraconjugale aurait eu lieu postérieurement à la signature de la déclaration commune et que, par conséquence, sa paternité pourrait être considérée comme un événement extraordinaire au sens de la jurisprudence.</w:t>
      </w:r>
    </w:p>
    <w:p>
      <w:r>
        <w:rPr>
          <w:b/>
        </w:rPr>
        <w:t>E. 2.4.1</w:t>
      </w:r>
    </w:p>
    <w:p>
      <w:r>
        <w:t>Une telle argumentation ne résiste pas à l'examen. Le Tribunal administratif fédéral a retenu, sans arbitraire, que la relation extraconjugale de l'époux, avait bien eu lieu au début de l'année 2008, soit avant la signature de la déclaration commune. En effet, lors de l'instruction de la cause en première instance, I'ex-épouse du recourant a expliqué que "quelques mois avant leur séparation, [son ex-époux était] allé en vacances en Macédoine et [c'était] là qu'il [l'avait] trompée avec une autre femme. Il [était] resté une ou deux semaines durant ces vacances au pays. Deux mois après son retour en Suisse, il [avait] appris qu[e la femme rencontrée] était enceinte de lui. Cela [avait] été le coup de grâce pour [leur] couple". Interrogée sur le fait de savoir si au moment de la naturalisation, elle et son ex-mari formaient une communauté conjugale effective et stable, elle a encore précisé que les vacances en Macédoine avaient eu lieu au début de l'année 2008, affirmation réitérée à plusieurs reprises. A cet égard, il sied de souligner que, dans son écriture, le recourant a indiqué que son ex-conjointe, répondant à la question de savoir à quelle date était né l'enfant de son ex-mari, aurait tenu les propos suivants : "M. A.________ indique que sa fille est née le 2.09.2009. Il précise que la première grossesse de la nouvelle épouse s'est mal terminée. En effet au 4ème mois de grossesse, la maman a eu un avortement naturel, vers septembre 2008". Ces propos sont en réalité ceux du recourant lui-même, qui assistait à l'audition de son ex-épouse. Quant à cette dernière, elle s'est contentée de répondre qu'il fallait poser la question à son ex-mari. Rien au dossier ne permet donc d'affirmer que la relation extraconjugale aurait eu lieu après la signature de la déclaration commune comme le soutient le recourant, au dernier stade de la procédure. Cela étant, comme le souligne également le Tribunal administratif fédéral, même si la relation extraconjugale était survenue après la signature de la déclaration commune, voire après la décision de naturalisation, de pareils éléments ne préjugeraient pas de la stabilité du mariage des époux au cours de la procédure de naturalisation (arrêts 1C_52/2009 du 4 août 2009 consid. 3.2 et 1C_196/2009 du 27 août 2009 consid. 3.3). En effet, la relation adultérine du recourant, même si elle a eu lieu après le 14 février 2008, a revêtu une importance certaine puisqu'elle a été suivie d'un remariage. Elle est donc incompatible avec la notion de communauté conjugale en matière de naturalisation facilitée qui suppose, de la part du couple au moment de la décision de naturalisation facilitée, une volonté intacte et orientée vers l'avenir. D'ailleurs, avant même le voyage en Macédoine, les époux avaient décidé "de faire une pause" et de "fréquenter d'autres personnes". L'ex-épouse du recourant a également précisé que leur "relation [était] devenue plus difficile, il y [avait] eu moins de dialogue entre [eux], [leur] intimité de couple [était] devenue moins bonne". Ces difficultés ont conduit le recourant à se constituer un domicile séparé le 16 mai 2008 déjà, soit moins de deux mois après la décision de naturalisation. Celui-ci a d'ailleurs lui-même souligné que lorsque les difficultés étaient apparues au sein du couple, la procédure de naturalisation était "relativement terminée". Cela signifie donc que cette procédure était encore en cours alors que les époux connaissaient d'importantes difficultés et que la communauté conjugale était déjà vacillante.</w:t>
      </w:r>
    </w:p>
    <w:p>
      <w:r>
        <w:rPr>
          <w:b/>
        </w:rPr>
        <w:t>E. 2.4.2</w:t>
      </w:r>
    </w:p>
    <w:p>
      <w:r>
        <w:t>Enfin, l'allégation selon laquelle les problèmes du couple étaient mineurs et que, dès lors le recourant ne pouvait avoir conscience de leur gravité, n'est pas soutenable. En effet, comme l'a souligné l'autorité inférieure, les problèmes rencontrés par le couple étaient tels que les conjoints avaient décidé de "faire une pause" et "de fréquenter d'autres personnes". Les époux avaient d'ailleurs envisagé une thérapie de couple. En définitive, le recourant n'apporte aucun élément propre à démontrer la survenance d'un événement extraordinaire postérieur à la signature de la déclaration commune et susceptible d'expliquer une dégradation aussi rapide du lien conjugal. L'intéressé ne rend pas non plus vraisemblable que les problèmes rencontrés par le couple étaient mineurs et que le recourant n'avait pu en mesurer l'importance. Les éléments qu'il a avancés ne sont pas de nature à renverser la présomption établie. Il en découle que les conditions d'application de l' art. 41 LN sont réunies et que le Tribunal administratif fédéral n'a pas violé le droit fédéral en confirmant l'annulation de la naturalisation facilitée qui avait été octroyée au recourant.</w:t>
      </w:r>
    </w:p>
    <w:p>
      <w:r>
        <w:rPr>
          <w:b/>
        </w:rPr>
        <w:t>E. 3</w:t>
      </w:r>
    </w:p>
    <w:p>
      <w:r>
        <w:t>Il s'ensuit que le recours doit être rejeté. Le recourant, qui succombe, doit supporter les frais de la présente procédure (art. 66 al. 1 L 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