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1C_515/2013 vom 19. Juni 2013</w:t>
      </w:r>
    </w:p>
    <w:p>
      <w:r>
        <w:t>Bundesgericht, 2013-06-19, FR</w:t>
      </w:r>
    </w:p>
    <w:p>
      <w:r>
        <w:rPr>
          <w:b/>
        </w:rPr>
        <w:t xml:space="preserve">Quelle: </w:t>
      </w:r>
      <w:r>
        <w:t>https://mcp.opencaselaw.ch/entscheid/bger_1C_515_2013</w:t>
      </w:r>
    </w:p>
    <w:p>
      <w:r>
        <w:t>FR: TF 1C_515/2013 du 19 juin 2013</w:t>
      </w:r>
    </w:p>
    <w:p>
      <w:r>
        <w:t>IT: TF 1C_515/2013 del 19 giugno 2013</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1.1</w:t>
      </w:r>
    </w:p>
    <w:p>
      <w:r>
        <w:t>Le recourant relève que l'extradition ne peut être accordée en application de l' art. 36 EIMP que dans les cas où l'infraction (ou ses conséquences) a été entièrement commise à l'étranger. Dans la plupart des cas traités par la jurisprudence, aucune procédure n'avait d'ailleurs été ouverte en Suisse. En l'occurrence, l'essentiel des faits (l'attaque du bureau de change et deux cambriolages) se serait déroulé en Suisse. Le principe d'économie de procédure, invoqué par les instances précédentes, ne justifierait pas une extradition dans un tel cas. L'arrêt attaqué s'écarterait ainsi de la jurisprudence rendue en application de l' art. 36 al. 1 EIMP , en méconnaissant le caractère exceptionnel de cette disposition.</w:t>
      </w:r>
    </w:p>
    <w:p>
      <w:r>
        <w:rPr>
          <w:b/>
        </w:rPr>
        <w:t>E. 1.2</w:t>
      </w:r>
    </w:p>
    <w:p>
      <w:r>
        <w:t>Selon l' art. 36 al. 1 EIMP , la personne poursuivie peut être exceptionnellement extradée pour des faits qui relèvent de la juridiction suisse, si des circonstances particulières le justifient, notamment la possibilité d'un meilleur reclassement social. Cette disposition constitue le corollaire de l' art. 7 ch. 1 CEExtr , qui permet de refuser l'extradition pour une infraction commise en tout ou partie sur le territoire de l'Etat requis. L' art. 36 al. 1 EIMP est une disposition potestative accordant à l'autorité d'extradition un très large pouvoir d'appréciation ( ATF 117 Ib 210 consid. 3b/aa p. 213). Contrairement à ce que soutient le recourant, la loi n'impose aucune hiérarchie de critères (cf. ATF 124 II 586 consid. 2a p. 589 relatif à un concours de demandes d'extradition), la possibilité d'un meilleur reclassement social ne constituant qu'un élément parmi d'autres. L' art. 36 al. 1 EIMP (de même que l' art. 37 EIMP ) tend à ce que la personne poursuivie fasse l'objet d'une procédure unique pour l'ensemble des faits qui lui sont reprochés, en principe au lieu où s'est déroulée la plus grande part de l'activité délictueuse (même arrêt, consid. 3b/bb p. 213). Ce dernier critère, même s'il est souvent pris en compte dans la jurisprudence, ne saurait être considéré comme absolu. L'exigence d'une bonne administration de la justice et notamment d'un jugement d'ensemble en cas de pluralité d'auteurs ou d'infractions (cf. art. 8 al. 1 let . c et d OEIMP, en rapport avec l' art. 19 EIMP ) peut apparaître comme prépondérant dans certaines circonstances.</w:t>
      </w:r>
    </w:p>
    <w:p>
      <w:r>
        <w:t>Tel est le cas en l'occurrence: les faits les plus importants, soit l'attaque à main armée du bureau de change et divers actes préparatoires, ont certes été commis à Genève. Toutefois, les prévenus ont dans leur majorité été arrêtés en France et la compétence répressive de cet Etat n'est ni contestable ni contestée. L'Etat requérant a clairement fait entendre qu'une extradition de ces prévenus n'était pas possible compte tenu de leur nationalité française, raison pour laquelle la poursuite pénale a été déléguée à la France pour les faits commis en Suisse. En présence d'un soupçon d'association de malfaiteurs, il se justifie que l'ensemble des prévenus fasse l'objet d'une part d'une même instruction - afin notamment de permettre les confrontations nécessaires - et d'autre part d'une même procédure de jugement afin d'éviter les décisions contradictoires. Les faits commis en France ne sont au demeurant pas anodins puisque les vols de trois voitures ont été commis avec violence par des individus armés, et seraient ainsi constitutifs de brigandages.</w:t>
      </w:r>
    </w:p>
    <w:p>
      <w:r>
        <w:rPr>
          <w:b/>
        </w:rPr>
        <w:t>E. 1.3</w:t>
      </w:r>
    </w:p>
    <w:p>
      <w:r>
        <w:t>Sous l'angle du principe de célérité, l'extradition du recourant permettra de mettre fin à la situation de blocage actuelle que connaît l'instruction à Genève, les autorités françaises ayant jusqu'ici refusé une audition en Suisse des prévenus arrêtés en France. Le fait que l'un des prévenus soit en fuite n'empêchera pas l'avancement de l'instruction en France, cet Etat étant, comme la Suisse, tenu au respect des principes découlant notamment des art. 5 et 6 CEDH , en particulier le principe de célérité de la procédure pénale. Le recourant prétend que l'instruction à Genève était sur le point d'être terminée et qu'elle aurait nécessairement conduit à une condamnation pour le seul vol d'un véhicule; il perd cependant de vue que selon la demande d'extradition, il est également soupçonné d'avoir participé à l'attaque du bureau de change, et que ces charges étaient également retenues dans le cadre de l'instruction genevoise (cf. arrêt 1B_183/2013 du 29 mai 2013 concernant la détention provisoire). L'enquête menée à Genève à propos de ces charges n'était d'ailleurs pas terminée puisque les comparses supposés du recourant n'ont pas encore pu être entendus.</w:t>
      </w:r>
    </w:p>
    <w:p>
      <w:r>
        <w:rPr>
          <w:b/>
        </w:rPr>
        <w:t>E. 1.4</w:t>
      </w:r>
    </w:p>
    <w:p>
      <w:r>
        <w:t>Dans ces circonstances, les critères procéduraux pouvaient dès lors être considérés à juste titre comme prépondérants. Le recourant ne saurait prétendre à un meilleur reclassement social en Suisse dès lors qu'il n'a aucun lien particulier avec ce pays où il encourt une mesure d'expulsion. Enfin, il prétend en vain qu'une partie des infractions poursuivies à Genève n'aurait pas été déléguée à la France (ce qui impliquerait sa réextradition à la Suisse pour en répondre) : la délégation de poursuite porte sur l'intégralité de la procédure pénale ouverte à Genève (et transmise au magistrat français) et s'étend aux deux cambriolages évoqués par le recourant puisque ceux-ci ont fait l'objet d'une mise en prévention formelle le 12 janvier 2012.</w:t>
      </w:r>
    </w:p>
    <w:p>
      <w:r>
        <w:rPr>
          <w:b/>
        </w:rPr>
        <w:t>E. 1.5</w:t>
      </w:r>
    </w:p>
    <w:p>
      <w:r>
        <w:t>Pour autant que l'on puisse considérer la question principale posée par le recours comme une question de principe, les autorités intimées y ont répondu conformément au droit fédéral et dans le respect des principes jurisprudentiels dégagés jusqu'ici.</w:t>
      </w:r>
    </w:p>
    <w:p>
      <w:r>
        <w:rPr>
          <w:b/>
        </w:rPr>
        <w:t>E. 2</w:t>
      </w:r>
    </w:p>
    <w:p>
      <w:r>
        <w:t>Il s'ensuit que le recours doit être rejeté, dans la mesure où il est recevable. Le recourant a demandé l'assistance judiciaire, et les conditions en sont réunies. Me Saskia Ditisheim est désignée comme avocate d'office du recourant, rétribuée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