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1C_515/2011 vom 13. April 2012</w:t>
      </w:r>
    </w:p>
    <w:p>
      <w:r>
        <w:t>Bundesgericht, 2012-04-13, FR</w:t>
      </w:r>
    </w:p>
    <w:p>
      <w:r>
        <w:rPr>
          <w:b/>
        </w:rPr>
        <w:t xml:space="preserve">Quelle: </w:t>
      </w:r>
      <w:r>
        <w:t>https://mcp.opencaselaw.ch/entscheid/bger_1C_515_2011</w:t>
      </w:r>
    </w:p>
    <w:p>
      <w:r>
        <w:t>FR: TF 1C_515/2011 du 13 avril 2012</w:t>
      </w:r>
    </w:p>
    <w:p>
      <w:r>
        <w:t>IT: TF 1C_515/2011 del 13 aprile 2012</w:t>
      </w:r>
    </w:p>
    <w:p>
      <w:pPr>
        <w:pStyle w:val="Heading2"/>
      </w:pPr>
      <w:r>
        <w:t>Erwägungen</w:t>
      </w:r>
    </w:p>
    <w:p>
      <w:r>
        <w:rPr>
          <w:b/>
        </w:rPr>
        <w:t>E. 1</w:t>
      </w:r>
    </w:p>
    <w:p>
      <w:r>
        <w:t>Dirigé contre une décision finale ( art. 90 LTF ) prise en dernière instance cantonale (art. 86 al. 1 lit. d LTF) dans le domaine du droit public des constructions (art. 82 lit. a LTF), le recours est en principe recevable comme recours en matière de droit public selon les art. 82 ss LTF , aucune des exceptions prévues à l' art. 83 LTF n'étant réalisée.</w:t>
      </w:r>
    </w:p>
    <w:p>
      <w:r>
        <w:rPr>
          <w:b/>
        </w:rPr>
        <w:t>E. 1.1</w:t>
      </w:r>
    </w:p>
    <w:p>
      <w:r>
        <w:t>Aux termes de l' art. 89 LTF , la qualité pour recourir est reconnue à toute personne atteinte par la décision attaquée et qui dispose d'un intérêt digne de protection à son annulation ou à sa modification. Selon la jurisprudence rendue en application de cette disposition, le recourant doit se trouver dans une relation étroite avec l'objet de la contestation. Ainsi, le voisin direct de la construction litigieuse a en principe la qualité pour recourir ( ATF 121 II 171 consid. 2b p. 174; 115 Ib 508 consid. 5c p. 511). Il doit toutefois retirer un avantage pratique de l'annulation ou de la modification de la décision contestée afin d'admettre qu'il est touché dans un intérêt personnel se distinguant nettement de l'intérêt général ( ATF 133 II 249 consid. 1.3.1 p. 252, 468 consid. 1 p. 470). Il incombe au recourant d'alléguer les faits qu'il considère comme propres à fonder sa qualité pour agir lorsqu'ils ne ressortent pas à l'évidence de la décision attaquée ou du dossier de la cause ( ATF 133 II 249 consid. 1.1 p. 251).</w:t>
      </w:r>
    </w:p>
    <w:p>
      <w:r>
        <w:rPr>
          <w:b/>
        </w:rPr>
        <w:t>E. 1.2</w:t>
      </w:r>
    </w:p>
    <w:p>
      <w:r>
        <w:t>L'objet de la contestation est limité à la délivrance d'un permis d'habiter. Selon l'arrêt cantonal, ce permis est une attestation délivrée par l'autorité de police des constructions au propriétaire ou au constructeur à la fin des travaux, lorsqu'il est établi que ceux-ci respectent l'autorisation de construire (art. 59 de l'ordonnance sur les constructions - OC, RS/VS 705.100). La procédure d'octroi du permis d'habiter ne permet toutefois pas de remettre en cause la régularité, matérielle ou formelle, du permis de construire. Cette interprétation du droit cantonal n'apparaît pas arbitraire. La recourante ne le prétend d'ailleurs pas.</w:t>
      </w:r>
    </w:p>
    <w:p>
      <w:r>
        <w:rPr>
          <w:b/>
        </w:rPr>
        <w:t>E. 1.3</w:t>
      </w:r>
    </w:p>
    <w:p>
      <w:r>
        <w:t>Selon la jurisprudence précitée, les propriétaires voisins ont en principe qualité pour recourir contre l'octroi d'un permis de construire ( ATF 121 II 171 consid. 2b p. 174; 115 Ib 508 consid. 5c p. 511). Il en va différemment du permis d'habiter, tel que défini ci-dessus: l'admission du recours ne permettrait que d'empêcher une occupation des locaux par l'intimée, mais nullement de contester le bien-fondé du permis de construire, respectivement la dispense d'autorisation de construire. La recourante estime que l'augmentation de la surface habitable par la suppression d'un mur porteur constituerait un danger, mais la cour cantonale a considéré que l'existence d'un tel danger n'était pas démontrée. Au demeurant, rien ne permet d'affirmer que l'occupation des locaux par l'intimée comporterait un risque supplémentaire de ce point de vue. Dès lors, même si elle est entrée en matière sur le fond, la cour cantonale a considéré à juste titre que les griefs soulevés par la recourante, qui concernaient essentiellement la régularité des travaux, n'étaient pas recevables.</w:t>
      </w:r>
    </w:p>
    <w:p>
      <w:r>
        <w:rPr>
          <w:b/>
        </w:rPr>
        <w:t>E. 1.4</w:t>
      </w:r>
    </w:p>
    <w:p>
      <w:r>
        <w:t>Pour les mêmes motifs, la recourante doit se voir dénier la qualité pour agir au regard de l' art. 89 LTF , faute d'être touchée plus que quiconque par la décision attaquée et d'avoir un intérêt pratique à son annulation. Le recours est dès lors irrecevable dans la mesure où il porte sur le fond.</w:t>
      </w:r>
    </w:p>
    <w:p>
      <w:r>
        <w:rPr>
          <w:b/>
        </w:rPr>
        <w:t>E. 2</w:t>
      </w:r>
    </w:p>
    <w:p>
      <w:r>
        <w:t>La recourante se plaint aussi de l'arrêt attaqué en tant qu'il met à sa charge les frais de la cause ainsi que les dépens alloués à l'intimée. Elle relève que de nombreuses irrégularités ont été reconnues par la cour cantonale. En soi, le grief serait recevable puisqu'il porte sur un point de procédure qui ressort directement de l'arrêt attaqué et touche la recourante dans ses intérêts protégés. Toutefois, la recourante ne fournit aucune motivation sur ce point, alors que la question des frais et dépens ressortit au droit cantonal et est soumise de ce chef aux exigences accrues de motivation de l' art. 106 al. 2 LTF , s'agissant de griefs de nature constitutionnelle. Au demeurant, les conclusions de la recourante ont été entièrement écartées par l'instance cantonale, de sorte que les frais et dépens pouvaient sans arbitraire être mis à sa charge.</w:t>
      </w:r>
    </w:p>
    <w:p>
      <w:r>
        <w:rPr>
          <w:b/>
        </w:rPr>
        <w:t>E. 3</w:t>
      </w:r>
    </w:p>
    <w:p>
      <w:r>
        <w:t>Sur le vu de ce qui précède, le recours est irrecevable. Conformément aux art. 66 al. 1 et 68 al. 2 LTF, les frais de la cause sont mis à la charge de la recourante, de même que l'indemnité de dépens allouée à l'intimée Y.________.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