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1C_514/2012 vom 7. Juni 2013</w:t>
      </w:r>
    </w:p>
    <w:p>
      <w:r>
        <w:t>Bundesgericht, 2013-06-07, DE</w:t>
      </w:r>
    </w:p>
    <w:p>
      <w:r>
        <w:rPr>
          <w:b/>
        </w:rPr>
        <w:t xml:space="preserve">Quelle: </w:t>
      </w:r>
      <w:r>
        <w:t>https://mcp.opencaselaw.ch/entscheid/bger_1C_514_2012</w:t>
      </w:r>
    </w:p>
    <w:p>
      <w:r>
        <w:t>FR: TF 1C_514/2012 du 7 juin 2013</w:t>
      </w:r>
    </w:p>
    <w:p>
      <w:r>
        <w:t>IT: TF 1C_514/2012 del 7 giugno 2013</w:t>
      </w:r>
    </w:p>
    <w:p>
      <w:pPr>
        <w:pStyle w:val="Heading2"/>
      </w:pPr>
      <w:r>
        <w:t>Erwägungen</w:t>
      </w:r>
    </w:p>
    <w:p>
      <w:r>
        <w:rPr>
          <w:b/>
        </w:rPr>
        <w:t>E. 1</w:t>
      </w:r>
    </w:p>
    <w:p>
      <w:r>
        <w:t>Angefochten ist der Entscheid einer letzten kantonalen Instanz in einer öffentlich-rechtlichen Angelegenheit (vgl. Art. 82 lit. a sowie Art. 86 Abs. 1 lit. d und Abs. 2 BGG ). Die Beschwerdeführerin ist als Verein konstituiert. Mitglieder des Vereins können gemäss den Statuten volljährige natürliche sowie juristische Personen werden, die in Aadorf im Gebiet U.________ (begrenzt durch ...strasse, ...strasse, ...strasse und ...strasse) wohnen oder dort Grundeigentum besitzen. Die Statuten sehen die Wahrung der mit der Beschwerde verfolgten Interessen der Vereinsmitglieder vor. Es ist davon auszugehen, dass aufgrund der räumlichen Nähe ihrer Liegenschaften zur Klinik oder des mit dem Umbau sowie dem Betrieb der Klinik verbundenen Verkehrs im Quartier die Mehrheit oder zumindest eine grosse Anzahl der Mitglieder der Beschwerdeführerin durch den angefochtenen Entscheid besonders berührt ist und ein schutzwürdiges Interesse an dessen Aufhebung oder Änderung hat. Damit ist die Beschwerdeführerin, die am vorinstanzlichen Verfahren teilgenommen hat, nach Art. 89 Abs. 1 BGG zur Beschwerde in öffentlich-rechtlichen Angelegenheiten berechtigt.</w:t>
      </w:r>
    </w:p>
    <w:p>
      <w:r>
        <w:rPr>
          <w:b/>
        </w:rPr>
        <w:t>E. 2.1</w:t>
      </w:r>
    </w:p>
    <w:p>
      <w:r>
        <w:t>Mit dem angefochtenen Entscheid hat die Vorinstanz die Angelegenheit nicht abschliessend beurteilt, sondern die Sache zu neuem Entscheid im Sinne der Erwägungen an die Politische Gemeinde Aadorf zurückgewiesen. Bevor ein im Sinne des vorinstanzlichen Entscheids überarbeitetes Bauprojekt ausgeführt werden darf, wird es von der Politische Gemeinde Aadorf noch einmal zu genehmigen sein, wobei ihr ein gewisser Entscheidungsspielraum belassen wird. Ein derartiger Rückweisungsentscheid stellt keinen Endentscheid im Sinne von Art. 90 BGG dar, sondern einen Zwischenentscheid (vgl. BGE 134 II 124 E. 1.3 S. 127).</w:t>
      </w:r>
    </w:p>
    <w:p>
      <w:r>
        <w:rPr>
          <w:b/>
        </w:rPr>
        <w:t>E. 2.2</w:t>
      </w:r>
    </w:p>
    <w:p>
      <w:r>
        <w:t>Zwischenentscheide sind - von den hier nicht gegebenen Ausnahmen gemäss Art. 92 BGG abgesehen - beim Bundesgericht nur unter den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Beschwerdeführer muss - sofern das nicht offensichtlich ist - darlegen, weshalb ein Zwischenentscheid gemäss Art. 93 Abs. 1 BGG anfechtbar sein soll ( BGE 138 III 46 E. 1.2 S. 47 mit Hinweisen). Die Eintretensvoraussetzungen von Art. 93 Abs. 1 BGG sollen das Bundesgericht entlasten. Dieses soll sich möglichst nur einmal mit einer Sache befassen.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2.3</w:t>
      </w:r>
    </w:p>
    <w:p>
      <w:r>
        <w:t>Nach der bundesgerichtlichen Rechtsprechung ist die Beschwerde gegen einen Zwischenentscheid in Anwendung von Art. 93 Abs. 1 lit. a BGG zulässig, wenn er einen Nachteil bewirken könnte, der auch durch einen für den Beschwerdeführer günstigen Endentscheid (sei es im kantonalen Verfahren, sei es in einem anschliessenden Verfahren vor Bundesgericht) nicht mehr behoben werden könnte. Die blosse Verzögerung oder Verteuerung des Verfahrens genügt generell nicht, um einen sofortigen Entscheid des Bundesgerichts zu erwirken ( BGE 135 II 30 E. 1.3.4). Insbesondere bewirkt die Rückweisung der Sache an die Verwaltung zu neuer Entscheidung in der Regel keinen im Sinne von Art. 93 Abs. 1 lit. a BGG nicht wieder gutzumachenden Nachteil ( BGE 133 V 477 E. 5.2.1 f., 645 E. 2.1).</w:t>
      </w:r>
    </w:p>
    <w:p>
      <w:r>
        <w:t>Sofern die Politische Gemeinde Aadorf das gemäss den vorinstanzlichen Vorgaben angepasste Bauvorhaben bewilligt, steht der Beschwerdeführerin die Möglichkeit offen, die Baubewilligung erneut anzufechten. Daran ändert auch der Umstand nichts, dass die Vorinstanz im angefochtenen Zwischenentscheid gewisse Einwände der Beschwerdeführerin als unbegründet bezeichnet hat. Gegen einen kantonal letztinstanzlichen Endentscheid steht der Beschwerdeführerin die Beschwerde in öffentlich-rechtlichen Angelegenheiten offen. Soweit der vorliegend angefochtene Zwischenentscheid vom 29. August 2012 dannzumal noch aktuell sein wird und sich auf den Endentscheid auswirkt, kann er zusammen mit dem Endentscheid beim Bundesgericht angefochten werden (vgl. Art. 93 Abs. 3 BGG ). Dies gilt auch für die Kosten und Entschädigungen, welche der Beschwerdeführerin von der Vorinstanz für das Rekursverfahren vor dem Departement sowie das Beschwerdeverfahren vor der Vorinstanz auferlegt worden sind. Inwiefern unter diesen Umständen der vorliegend angefochtene Zwischenentscheid einen Nachteil für die Beschwerdeführerin bewirken sollte, der durch einen für sie günstigen Endentscheid nicht mehr behoben werden könnte, ist weder dargetan noch ersichtlich. Dies zumal mit dem Bauvorhaben nicht begonnen werden kann, bevor die Projektänderung bewilligt worden ist (vgl. E. 6 des angefochtenen Entscheids), und die blosse Verzögerung oder Verteuerung des Verfahrens keinen solchen Nachteil bewirkt.</w:t>
      </w:r>
    </w:p>
    <w:p>
      <w:r>
        <w:rPr>
          <w:b/>
        </w:rPr>
        <w:t>E. 2.4</w:t>
      </w:r>
    </w:p>
    <w:p>
      <w:r>
        <w:t>Zu prüfen bleibt, ob auf die Beschwerde nach Art. 93 Abs. 1 lit. b BGG eingetreten werden kann. Die Gutheissung der Beschwerde könnte zum Bauabschlag und damit zu einem sofortigen Endentscheid führen. Kumulativ erforderlich ist jedoch, dass damit ein bedeutender Aufwand an Zeit oder Kosten für ein weitläufiges Beweisverfahren erspart würde. Dass dies vorliegend der Fall wäre, ist nicht offensichtlich und die Beschwerdeführerin äussert sich dazu nicht. Nicht ersichtlich ist insbesondere, inwiefern die von der Vorinstanz verlangten Projektänderungen ein weitläufiges Beweisverfahren nach sich ziehen sollten.</w:t>
      </w:r>
    </w:p>
    <w:p>
      <w:r>
        <w:rPr>
          <w:b/>
        </w:rPr>
        <w:t>E. 3</w:t>
      </w:r>
    </w:p>
    <w:p>
      <w:r>
        <w:t>Nach dem Ausgeführten kann auf die Beschwerde nicht eingetreten werden. Bei diesem Ausgang des Verfahrens wird die Beschwerdeführerin kostenpflichtig (vgl. Art. 66 Abs. 1 BGG ). Die Beschwerdeführerin hat der Beschwerdegegnerin für das bundesgerichtliche Verfahren eine angemessene Parteientschädigung zu bezahlen (vgl. Art. 68 Abs. 1 und 2 BGG ).</w:t>
      </w:r>
    </w:p>
    <w:p>
      <w:r>
        <w:rPr>
          <w:b/>
        </w:rPr>
        <w:t>E. 4</w:t>
      </w:r>
    </w:p>
    <w:p>
      <w:r>
        <w:t>Die von der Beschwerdeführerin erhobene Rüge, das umstrittene Bauvorhaben verursache übermässige Lärmimmissionen und widerspreche den umweltrechtlichen Immissionsvorschriften, namentlich der Lärmschutzverordnung, ist bei diesem Verfahrensausgang nicht zu beurteilen. Dennoch rechtfertigen sich im Hinblick auf die weitere Behandlung der Angelegenheit und eine eventuelle spätere Beurteilung dieses Einwands die folgenden Bemerkungen.</w:t>
      </w:r>
    </w:p>
    <w:p>
      <w:r>
        <w:t>Es ist anzunehmen, dass mit dem Betrieb der Klinik nach der Realisierung des umstrittenen Bauvorhabens Sekundärlärm verbunden ist, der von den Patienten, Besuchern, Mitarbeitern und Zulieferern der Klinik ausgeht und der Klinik als ortsfeste Anlage zuzurechnen ist. Dazu gehört nicht nur der Lärm, der im Zusammenhang mit der Benutzung der Schwimmbadanlage entsteht, sondern namentlich auch zusätzlicher Verkehrslärm im Quartier. Die Politische Gemeinde Aadorf, das Departement für Bau und Umwelt sowie die Vorinstanz haben sich in der Baubewilligung bzw. in den Rechtsmittelentscheiden nicht dazu geäussert, ob sie die Klinik in lärmschutzrechtlicher Hinsicht als alt- oder neurechtliche Anlage beurteilen. Die einschlägigen Erwägungen scheinen darauf zu basieren, dass der Klinikbetrieb als altrechtliche, vor dem Inkrafttreten des USG (SR 814.01) am 1. Januar 1985 bewilligte Anlage betrachtet wurde. Aufgrund der Akten kann indessen nicht ausgeschlossen werden, dass es sich um eine neurechtliche Anlage im Sinne von Art. 25 USG sowie Art. 7 Abs. 1 der Lärmschutz-Verordnung (LSV; SR 814.41) handelt (vgl. Vernehmlassung des Bundesamts für Umwelt vom 22. März 2013), da vor dem Stichtag (1. Januar 1985) offenbar nur ein Ärztehaus mit Praxis bestand. Diesfalls müssten die der Klinik nach dem Neu- und Umbau zuzurechnenden Lärmimmissionen nicht nur der Vorsorge genügen, sondern grundsätzlich auch die Planungswerte einhalten (vgl. Art. 8 Abs. 4 i.V.m. Art. 7 Abs. 1 LSV ). Soweit es um Lärm geht, für den in der LSV keine Belastungsgrenzwerte verankert sind, müsste eine Einzelfallbeurteilung aufzeigen, dass ein Immissionsniveau nicht erreicht wird, bei welchem mehr als nur geringfügige Störungen auftreten (vgl. Art. 40 Abs. 3 LSV i.V.m. Art. 15 sowie Art. 23 USG ; BGE 123 II 325 E. 4d/bb S. 334 f.).</w:t>
      </w:r>
    </w:p>
    <w:p>
      <w:r>
        <w:t>Wie es sich damit verhält, braucht wie ausgeführt hier nicht weiter abgeklärt zu werden. Es könnte einer beförderlichen und rationellen Behandlung der Angelegenheit jedoch dienen, die Rückweisung an die Gemeinde zum Anlass zu nehmen, um zugleich die lärmschutzrechtliche Beurteilung zu überprüfen und gegebenenfalls zu ergänzen.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