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512/2021 vom 2. August 2023</w:t>
      </w:r>
    </w:p>
    <w:p>
      <w:r>
        <w:t>Bundesgericht, 2023-08-02, DE</w:t>
      </w:r>
    </w:p>
    <w:p>
      <w:r>
        <w:rPr>
          <w:b/>
        </w:rPr>
        <w:t xml:space="preserve">Quelle: </w:t>
      </w:r>
      <w:r>
        <w:t>https://mcp.opencaselaw.ch/entscheid/bger_1C_512_2021</w:t>
      </w:r>
    </w:p>
    <w:p>
      <w:r>
        <w:t>FR: TF 1C 512/2021 du 2 août 2023</w:t>
      </w:r>
    </w:p>
    <w:p>
      <w:r>
        <w:t>IT: TF 1C 512/2021 del 2 agosto 2023</w:t>
      </w:r>
    </w:p>
    <w:p>
      <w:pPr>
        <w:pStyle w:val="Heading2"/>
      </w:pPr>
      <w:r>
        <w:t>Regeste</w:t>
      </w:r>
    </w:p>
    <w:p>
      <w:r>
        <w:t>Informationszugang | Verwaltungsverfahren</w:t>
      </w:r>
    </w:p>
    <w:p>
      <w:pPr>
        <w:pStyle w:val="Heading2"/>
      </w:pPr>
      <w:r>
        <w:t>Erwägungen</w:t>
      </w:r>
    </w:p>
    <w:p>
      <w:r>
        <w:rPr>
          <w:b/>
        </w:rPr>
        <w:t>E. 1</w:t>
      </w:r>
    </w:p>
    <w:p>
      <w:r>
        <w:t>Das Bundesgericht prüft seine Zuständigkeit und die Zulässigkeit der Beschwerde von Amtes wegen und mit freier Kognition ( Art. 29 Abs. 1 BGG ; BGE 147 I 333 E. 1 mit Hinweis).</w:t>
      </w:r>
    </w:p>
    <w:p>
      <w:r>
        <w:rPr>
          <w:b/>
        </w:rPr>
        <w:t>E. 1.1</w:t>
      </w:r>
    </w:p>
    <w:p>
      <w:r>
        <w:t>Angefochten ist ein kantonal letztinstanzlicher Entscheid betreffend Informationszugang gestützt auf das im kantonalen Recht vorgesehene Öffentlichkeitsprinzip. Dagegen steht grundsätzlich die Beschwerde in öffentlich-rechtlichen Angelegenheiten offen ( Art. 82 lit. a, Art. 86 Abs. 1 lit. d und Abs. 2 BGG ); ein Ausschlussgrund gemäss Art. 83 ff. BGG ist nicht gegeben.</w:t>
      </w:r>
    </w:p>
    <w:p>
      <w:r>
        <w:rPr>
          <w:b/>
        </w:rPr>
        <w:t>E. 1.2</w:t>
      </w:r>
    </w:p>
    <w:p>
      <w:r>
        <w:t>Zu prüfen ist, ob der Spitalrat des Universitätsspitals Zürich im Sinne von Art. 89 BGG zur Beschwerde berechtigt ist. Ob statt des Spitalrats das Universitätsspital Zürich hätte Beschwerde erheben müssen, kann mit Blick auf die nachfolgenden Erwägungen offenbleiben.</w:t>
      </w:r>
    </w:p>
    <w:p>
      <w:r>
        <w:rPr>
          <w:b/>
        </w:rPr>
        <w:t>E. 1.2.1</w:t>
      </w:r>
    </w:p>
    <w:p>
      <w:r>
        <w:t>Beim Universitätsspital Zürich handelt es sich um eine öffentlich-rechtliche Anstalt mit eigener Rechtspersönlichkeit (§ 1 des Gesetzes des Kantons Zürich vom 19. September 2005 über das Universitätsspital Zürich [USZG/ZH; LS 813.15]). Als solcher steht ihm das Beschwerderecht gemäss Art. 89 Abs. 2 lit. c BGG nicht zu. Ebenso wenig ergibt sich seine Beschwerdelegitimation aus einer spezialgesetzlichen Bestimmung im Sinne von Art. 89 Abs. 2 lit. d BGG . Als Grundlage für seine Beschwerdeberechtigung kommt somit allein die allgemeine Norm von Art. 89 Abs. 1 BGG in Betracht (Urteil 1C_780/2013 vom 4. März 2014 E. 2). Der Beschwerdeführer beruft sich denn auch allein auf diese Bestimmung.</w:t>
      </w:r>
    </w:p>
    <w:p>
      <w:r>
        <w:rPr>
          <w:b/>
        </w:rPr>
        <w:t>E. 1.2.2</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Diese Regelung ist in erster Linie auf Privatpersonen zugeschnitten, doch kann sich auch das Gemeinwesen darauf stützen, falls es durch einen angefochtenen Entscheid gleich oder ähnlich wie eine Privatperson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147 II 227 E. 2.3.2; 138 II 506 E. 2.1.1; Urteile 1C_43/2021 vom 21. November 2022 E. 1.3.1; 1C_487/2020 vom 12. November 2021 E. 3.1, nicht publ. in: BGE 148 II 139 ). Der Beschwerdeführer hat darzulegen, dass diese Voraussetzungen erfüllt sind, soweit deren Vorliegen nicht ohne weiteres ersichtlich ist ( BGE 142 V 395 E. 3.1; 133 II 400 E. 2; je mit Hinweis).</w:t>
      </w:r>
    </w:p>
    <w:p>
      <w:r>
        <w:rPr>
          <w:b/>
        </w:rPr>
        <w:t>E. 1.2.3</w:t>
      </w:r>
    </w:p>
    <w:p>
      <w:r>
        <w:t>Nachdem der Beschwerdeführer durch das angefochtene Urteil offensichtlich nicht wie eine Privatperson betroffen wird, ist nachfolgend einzig zu prüfen, ob das Urteil für ihn eine erhebliche Betroffenheit in wichtigen öffentlichen Interessen bewirkt (vgl. Urteil 1C_780/2013 vom 4. März 2014 E. 3).</w:t>
      </w:r>
    </w:p>
    <w:p>
      <w:r>
        <w:rPr>
          <w:b/>
        </w:rPr>
        <w:t>E. 1.2.4</w:t>
      </w:r>
    </w:p>
    <w:p>
      <w:r>
        <w:t>Wie das in Art. 17 der Verfassung des Kantons Zürich vom 27. Februar 2005 (KV/ZH; LS 101) verankerte Öffentlichkeitsprinzip im Bereich der Spitalaufsicht zu verwirklichen ist, berührt zwar wichtige öffentliche Interessen in einem Bereich der hoheitlichen Staatstätigkeit (Urteil 1C_780/2013 vom 4. März 2014 E. 3). Gemäss der oben dargelegten Rechtsprechung des Bundesgerichts setzt die Beschwerdeberechtigung von Gemeinwesen gestützt auf Art. 89 Abs. 1 BGG aber zusätzlich voraus, dass diese in erheblicher Weise in ihren schutzwürdigen öffentlichen Interessen betroffen sind bzw. dass dem Entscheid eine präjudizielle Bedeutung für die öffentliche Aufgabenerfüllung zukommt (vgl. oben E. 1.2.2).</w:t>
      </w:r>
    </w:p>
    <w:p>
      <w:r>
        <w:rPr>
          <w:b/>
        </w:rPr>
        <w:t>E. 1.2.5</w:t>
      </w:r>
    </w:p>
    <w:p>
      <w:r>
        <w:t>In Bezug auf seine Legitimation führt der Beschwerdeführer aus, als Adressat des angefochtenen Urteils, das ihn dazu verpflichte, Einsicht in Dokumente zu gewähren, die ihn und seine Arbeitnehmenden direkt betreffende Personendaten enthielten, sei er eindeutig besonders berührt im Sinne von Art. 89 Abs. 1 lit. b BGG . Ausserdem verfüge er über gewichtige schutzwürdige Interessen zur Beschwerdeführung gemäss Art. 89 Abs. 1 lit. c BGG , namentlich etwa den Schutz von Personendaten, die Wahrnehmung der Fürsorgepflicht des Arbeitgebers und den Schutz von internen Abläufen und Informanten in Administrativuntersuchungen. Inwiefern er durch das angefochtene Urteil in im oben genannten Sinn erheblicher Weise betroffen sein soll, geht daraus nicht hervor. Dies liegt mit Blick auf das vorinstanzliche Urteil und die geltend gemachten Vorbringen auch nicht auf der Hand. Die Vorinstanz erwog, ob in ein amtliches Dokument Einsicht zu gewähren sei, bestimme sich aufgrund des geltenden Öffentlichkeitsprinzips mit Geheimhaltungsvorbehalt allein nach einer Abwägung der betroffenen öffentlichen und privaten Interessen im Sinne von § 23 des Gesetzes des Kantons Zürich vom 12. Februar 2007 über die Information und den Datenschutz (IDG/ZH; LS 170.4). Demnach sei stets eine Interessenabwägung im Einzelfall vorzunehmen. Es gebe keine bei einem öffentlichen Organ vorhandenen Informationen, die a priori vom Informationszugang ausgenommen seien. Diese grundsätzlichen Erwägungen der Vorinstanz bestreitet der Beschwerdeführer nicht (substanziiert), wenn er vor Bundesgericht wiederholt, "heikle personalrechtliche (Administrativ-) Untersuchungen an öffentlich-rechtlichen Instituten [seien] immer vertraulich". Dies gilt umso mehr, als er andernorts festhält, es sei nicht vollständig ausgeschlossen, dass zu einem viel späteren Zeitpunkt, wenn der interne Umsetzungsprozess der Massnahmen abgeschlossen sei, allenfalls eine Veröffentlichung der Berichte erfolgen könnte. Hingegen beanstandet er die im angefochtenen Urteil vorgenommene, einzelfallbezogene Interessenabwägung. Eine erhebliche Betroffenheit im Sinne der oben dargelegten Rechtsprechung des Bundesgerichts (vgl. E. 1.2.2) ergibt sich daraus nicht. Pauschal bringt er vor, eine Veröffentlichung der Untersuchungsberichte würde die interne Meinungsbildung und Umsetzung geplanter Massnahmen sowie die weiteren Untersuchungs- und Aufsichtshandlungen gefährden und stören. Aus seinen Vorbringen wird zudem nicht deutlich, inwiefern die arbeitgeberische Fürsorgepflicht, der Schutz von Persönlichkeitsrechten oder das Vertrauensverhältnis und die Zusammenarbeit zwischen den von den Berichten betroffenen Personen und dem Universitätsspital verletzt bzw. beeinträchtigt würden, nachdem er mit dem angefochtenen Urteil angewiesen wurde, den Beschwerdegegnern Zugang zu den Berichten in einer anonymisierten Fassung zu gewähren. Der Beschwerdeführer vermag auch nicht schlüssig aufzuzeigen, inwiefern eine Anonymisierung - entgegen den vorinstanzlichen Erwägungen - vorliegend nicht möglich sein sollte.</w:t>
      </w:r>
    </w:p>
    <w:p>
      <w:r>
        <w:rPr>
          <w:b/>
        </w:rPr>
        <w:t>E. 1.2.6</w:t>
      </w:r>
    </w:p>
    <w:p>
      <w:r>
        <w:t>Eine erhebliche Betroffenheit in der Aufgabenerfüllung des Beschwerdeführers ist damit nicht dargetan und vor dem Hintergrund der rechtsprechungsgemäss restriktiv auszulegenden Ausnahme der Beschwerdelegitimation von Gemeinwesen auch nicht erkennbar.</w:t>
      </w:r>
    </w:p>
    <w:p>
      <w:r>
        <w:rPr>
          <w:b/>
        </w:rPr>
        <w:t>E. 2</w:t>
      </w:r>
    </w:p>
    <w:p>
      <w:r>
        <w:t>Nach diesen Erwägungen ist auf die Beschwerde nicht einzutreten. Es sind keine Gerichtskosten zu erheben ( Art. 66 Abs. 4 BGG ). Der Beschwerdeführer hat die zu Beginn des bundesgerichtlichen Verfahrens anwaltlich vertretenen Beschwerdegegner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