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1C_511/2019 vom 2. Oktober 2019</w:t>
      </w:r>
    </w:p>
    <w:p>
      <w:r>
        <w:t>Bundesgericht, 2019-10-02, DE</w:t>
      </w:r>
    </w:p>
    <w:p>
      <w:r>
        <w:rPr>
          <w:b/>
        </w:rPr>
        <w:t xml:space="preserve">Quelle: </w:t>
      </w:r>
      <w:r>
        <w:t>https://mcp.opencaselaw.ch/entscheid/bger_1C_511_2019</w:t>
      </w:r>
    </w:p>
    <w:p>
      <w:r>
        <w:t>FR: TF 1C_511/2019 du 2 octobre 2019</w:t>
      </w:r>
    </w:p>
    <w:p>
      <w:r>
        <w:t>IT: TF 1C_511/2019 del 2 ottobre 2019</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w:t>
      </w:r>
    </w:p>
    <w:p>
      <w:r>
        <w:t>Ein besonders bedeutender Fall liegt insbesondere vor, wenn Gründe für die Annahme bestehen, dass elementare Verfahrensgrundsätze verletzt worden sind oder das Verfahren im Ausland schwere Mängel aufweist ( Art. 84 Abs. 2 BGG ;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w:t>
      </w:r>
    </w:p>
    <w:p>
      <w:r>
        <w:rPr>
          <w:b/>
        </w:rPr>
        <w:t>E. 1.2</w:t>
      </w:r>
    </w:p>
    <w:p>
      <w:r>
        <w:t>Der Beschwerdeführer macht ohne weitergehende Erläuterungen geltend, das polnische Gericht habe unsauber gearbeitet, und behauptet, die Auslieferung würde seinen sicheren Tod bedeuten. Auch kritisiert er, dass er während des hängigen Asylverfahrens in Auslieferungshaft gesteckt worden sei, ohne aufzuzeigen, inwiefern dies den Auslieferungsentscheid in der Sache betrifft. Insgesamt legt er weder hinreichend substanziiert dar, weshalb ein besonders bedeutender Fall vorliegt, noch, inwiefern der angefochtene Akt Recht verletzt. Mit den ausführlichen Erwägungen des Bundesstrafgerichts setzt er sich in keiner Weise auseinander.</w:t>
      </w:r>
    </w:p>
    <w:p>
      <w:r>
        <w:t>Die Beschwerde genügt den gesetzlichen Formerfordernissen nicht, weshalb auf sie nicht einzutreten ist ( Art. 42 Abs. 2 BGG ).</w:t>
      </w:r>
    </w:p>
    <w:p>
      <w:r>
        <w:rPr>
          <w:b/>
        </w:rPr>
        <w:t>E. 2</w:t>
      </w:r>
    </w:p>
    <w:p>
      <w:r>
        <w:t>Das Gesuch des Beschwerdeführers um unentgeltliche Rechtspflege ist wegen Aussichtslosigkeit abzuweisen ( Art. 64 Abs. 1 BGG ). 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