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510/2022 vom 14. November 2022</w:t>
      </w:r>
    </w:p>
    <w:p>
      <w:r>
        <w:t>Bundesgericht, 2022-11-14, DE</w:t>
      </w:r>
    </w:p>
    <w:p>
      <w:r>
        <w:rPr>
          <w:b/>
        </w:rPr>
        <w:t xml:space="preserve">Quelle: </w:t>
      </w:r>
      <w:r>
        <w:t>https://mcp.opencaselaw.ch/entscheid/bger_1C_510_2022</w:t>
      </w:r>
    </w:p>
    <w:p>
      <w:r>
        <w:t>FR: TF 1C 510/2022 du 14 novembre 2022</w:t>
      </w:r>
    </w:p>
    <w:p>
      <w:r>
        <w:t>IT: TF 1C 510/2022 del 14 novembre 2022</w:t>
      </w:r>
    </w:p>
    <w:p>
      <w:pPr>
        <w:pStyle w:val="Heading2"/>
      </w:pPr>
      <w:r>
        <w:t>Regeste</w:t>
      </w:r>
    </w:p>
    <w:p>
      <w:r>
        <w:t>Zulässigkeit einer Enteignung | Enteignung</w:t>
      </w:r>
    </w:p>
    <w:p>
      <w:pPr>
        <w:pStyle w:val="Heading2"/>
      </w:pPr>
      <w:r>
        <w:t>Erwägungen</w:t>
      </w:r>
    </w:p>
    <w:p>
      <w:r>
        <w:rPr>
          <w:b/>
        </w:rPr>
        <w:t>E. 1</w:t>
      </w:r>
    </w:p>
    <w:p>
      <w:r>
        <w:t>In einem Verfahren betreffend Zulässigkeit einer Enteignung hat das Verwaltungsgericht des Kantons St. Gallen am 22. August 2022 die Beschwerde von A.________ wegen Nichtleistens des Kostenvorschusses abgeschrieben. Gegen diesen Entscheid hat A.________ mit Eingabe vom 15. September 2022 beim Verwaltungsgericht "Einspruch" erhoben, welches die Eingabe zuständigkeitshalber dem Bundesgericht zur Behandlung überwiesen hat. 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 Das Verwaltungsgericht hat die Beschwerde abgeschrieben mit der Begründung, der Beschwerdeführer habe die ihm angesetzte Frist zur Bezahlung eines Kostenvorschusses ungenutzt verstreichen lassen. Das bestreitet der Beschwerdeführer nicht, sondern macht nur geltend, er sei finanziell nicht in der Lage gewesen, den Vorschuss zu leisten. Wer nicht in der Lage ist, einen ihm auferlegten Kostenvorschuss zu leisten, ist indessen selbstredend nicht berechtigt, die ihm dafür angesetzte Frist unbenützt ablaufen zu lassen. Er hat vielmehr innert laufender Frist dem Gericht seine finanzielle Notlage mitzuteilen und einen Erlass oder eine Reduktion des Kostenvorschusses zu beantragen bzw. ein Gesuch um unentgeltliche Rechtspflege zu stellen. Die blosse Behauptung des Beschwerdeführers, er sei finanziell ausserstande gewesen, den Kostenvorschuss fristgerecht zu leisten, ist daher von vornherein nicht geeignet, den angefochtenen Entscheid bundesrechtswidrig erscheinen zu lassen. Auf die Beschwerde ist wegen Verletzung der Begründungspflicht nicht einzutreten, wobei auf die Erhebung von 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