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510/2020 vom 21. Juni 2021</w:t>
      </w:r>
    </w:p>
    <w:p>
      <w:r>
        <w:t>Bundesgericht, 2021-06-21, FR</w:t>
      </w:r>
    </w:p>
    <w:p>
      <w:r>
        <w:rPr>
          <w:b/>
        </w:rPr>
        <w:t xml:space="preserve">Quelle: </w:t>
      </w:r>
      <w:r>
        <w:t>https://mcp.opencaselaw.ch/entscheid/bger_1C_510_2020</w:t>
      </w:r>
    </w:p>
    <w:p>
      <w:r>
        <w:t>FR: TF 1C 510/2020 du 21 juin 2021</w:t>
      </w:r>
    </w:p>
    <w:p>
      <w:r>
        <w:t>IT: TF 1C 510/2020 del 21 giugno 2021</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l'autorité précédente. En tant que voisins directs du projet litigieux, ils disposent d'un intérêt personnel et digne de protection à l'annulation de l'arrêt attaqué, qui en confirme l'autorisation. Ils bénéficient dès lors de la qualité pour recourir au sens de l' art. 89 al. 1 LTF . Les autres conditions de recevabilité étant au surplus réunies, il convient d'entrer en matière.</w:t>
      </w:r>
    </w:p>
    <w:p>
      <w:r>
        <w:rPr>
          <w:b/>
        </w:rPr>
        <w:t>E. 2</w:t>
      </w:r>
    </w:p>
    <w:p>
      <w:r>
        <w:t>Selon les recourants, l'arrêt entrepris ne constaterait les faits que de manière incomplète ou imprécise. Ils demandent au Tribunal fédéral de compléter l'état de fait cantonal sur différents points.</w:t>
      </w:r>
    </w:p>
    <w:p>
      <w:r>
        <w:rPr>
          <w:b/>
        </w:rPr>
        <w:t>E. 2.1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Selon les recourants, la cour cantonale n'aurait pas mentionné que, lors de la mise à l'enquête publique du PQ "yyy", en 2017, aucun gabarit n'avait été installé sur le site. Les recourants lui reprochent également d'avoir prétendument "fait grand cas" du courriel du 11 juillet 2017 écrit par le recourant 1. Ils soutiennent qu'en aucun cas celui-ci ne peut être interprété comme une approbation du contenu du PQ "yyy". Outre que ces critiques sont formulées de manière appellatoire, sans aucune démonstration du caractère arbitraire de l'état de fait cantonal, elles portent sur l'adoption du PQ "yyy". Or ce plan, dûment mis à l'enquête, est en vigueur depuis le 5 septembre 2018 et n'est partant plus en cause. Elles sont par conséquent irrecevables, à l'instar des griefs de fond soulevés céans en lien avec ce même plan (cf. consid. 4.2 ci-dessous).</w:t>
      </w:r>
    </w:p>
    <w:p>
      <w:r>
        <w:rPr>
          <w:b/>
        </w:rPr>
        <w:t>E. 2.3</w:t>
      </w:r>
    </w:p>
    <w:p>
      <w:r>
        <w:t>Les recourants critiquent encore la cour cantonale pour avoir retenu de façon - selon eux - erronée que certains espaces au dernier étage des immeubles projetés devaient être déduits de la SPd. Il s'agit cependant d'une question d'appréciation et d'application de l'art. 3.3 RPQ (cf. consid. 5 ci-dessous) et non d'une question de fait.</w:t>
      </w:r>
    </w:p>
    <w:p>
      <w:r>
        <w:rPr>
          <w:b/>
        </w:rPr>
        <w:t>E. 2.4</w:t>
      </w:r>
    </w:p>
    <w:p>
      <w:r>
        <w:t>Toujours selon les recourants, l'arrêt attaqué ferait par ailleurs fautivement l'impasse sur la question des places de stationnement. Les complètements que requièrent à cet égard les recourants portent toutefois sur un grief de droit cantonal, respectivement communal, irrecevable, à ce stade, pour les motifs exposés ci-après au consid. 6.2.</w:t>
      </w:r>
    </w:p>
    <w:p>
      <w:r>
        <w:rPr>
          <w:b/>
        </w:rPr>
        <w:t>E. 2.5</w:t>
      </w:r>
    </w:p>
    <w:p>
      <w:r>
        <w:t>A suivre les recourants, il conviendrait enfin de tenir compte du fait que le projet litigieux est le seul des trois projets mis en concours à prévoir un revêtement de façade uniquement en bois, alors que les autres projets prévoyaient un mélange d'éléments boisés et minéraux plus en adéquation, selon eux, avec le site du Château de U.________. Il n'est pas contesté que le site du château présente, sans toutefois figurer à l'ISOS en tant que site d'importance nationale (U.________ n'y est mentionné qu'au titre de village d'intérêt régional), un intérêt patrimonial et paysager indéniable. A la lumière du droit fédéral, cela ne commande cependant pas la présentation de projets alternatifs; les recourants ne le prétendent d'ailleurs pas, pas plus qu'ils ne soutiennent que le droit cantonal exigerait une telle démarche. Seul le projet finalement retenu et formellement mis à l'enquête devait ainsi être examiné par la cour cantonale.</w:t>
      </w:r>
    </w:p>
    <w:p>
      <w:r>
        <w:rPr>
          <w:b/>
        </w:rPr>
        <w:t>E. 2.6</w:t>
      </w:r>
    </w:p>
    <w:p>
      <w:r>
        <w:t>En définitive, les griefs portant sur l'établissement des faits - au demeurant largement appellatoires - doivent être écartés. Le Tribunal fédéral s'en tiendra aux faits établis souverainement par l'instance précédente ( art. 105 al. 1 LTF ).</w:t>
      </w:r>
    </w:p>
    <w:p>
      <w:r>
        <w:rPr>
          <w:b/>
        </w:rPr>
        <w:t>E. 3</w:t>
      </w:r>
    </w:p>
    <w:p>
      <w:r>
        <w:t>Sur le fond, les recourants se plaignent pour l'essentiel d'arbitraire dans l'application de différentes dispositions cantonales et communales. Il convient par conséquent de rappeler la cognition du Tribunal fédéral dans ce contexte.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145 I 108 consid. 4.4.1; 142 III 153 consid. 2.5; 140 III 385 consid. 2.3). Lorsqu'il est ainsi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Le grief d'application arbitraire du droit cantonal est soumis à des exigences de motivation accrue ( art. 106 al. 2 LTF ; cf ATF 142 II 369 consid. 2.1; arrêt 1C_611/2020 du 10 mai 2021).</w:t>
      </w:r>
    </w:p>
    <w:p>
      <w:r>
        <w:rPr>
          <w:b/>
        </w:rPr>
        <w:t>E. 4</w:t>
      </w:r>
    </w:p>
    <w:p>
      <w:r>
        <w:t>Les recourants font valoir une violation de l'art. 4 de la loi fédérale du 22 juin 1979 sur l'aménagement du territoire (LAT; RS 700) conjointement avec une application arbitraire de l'art. 108 al. 3 de la loi cantonale du 4 décembre 1985 sur l'aménagement du territoire et les constructions (LATC; RS/VD 700.11).</w:t>
      </w:r>
    </w:p>
    <w:p>
      <w:r>
        <w:rPr>
          <w:b/>
        </w:rPr>
        <w:t>E. 4.1</w:t>
      </w:r>
    </w:p>
    <w:p>
      <w:r>
        <w:t>Dans le domaine de l'aménagement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Quant à l' art. 33 LAT , il prévoit que les plans d'affectation sont mis à l'enquête publique (al. 1). Le droit cantonal prévoit au moins une voie de recours contre les décisions et les plans d'affectation fondés sur la LAT (al. 2). Quant à l'art. 108 LATC, intitulé "Forme de la demande de permis", il dispose, à son troisième alinéa, que la municipalité, le cas échéant le département, peut exiger le profilement ou des montages photographiques de la construction projetée, aux frais de la personne sollicitant le permis.</w:t>
      </w:r>
    </w:p>
    <w:p>
      <w:r>
        <w:rPr>
          <w:b/>
        </w:rPr>
        <w:t>E. 4.2</w:t>
      </w:r>
    </w:p>
    <w:p>
      <w:r>
        <w:t>Les recourants se plaignent en substance que les gabarits n'ont été posés qu'au stade de l'autorisation de construire et non pas déjà lors de l'élaboration du plan de quartier. C'est toutefois perdre de vue que le plan de quartier est entré en vigueur le 5 septembre 2018, à la suite d'une mise à l'enquête, au cours de laquelle il eût été loisible aux recourants de critiquer l'absence de gabarits. Ainsi, dans la mesure où le grief - qu'il s'agisse de l'application de l' art. 4 LAT ou de l'art. 108 al. 3 LATC - est dirigé contre une planification aujourd'hui en force et hors de cause, celui-ci doit être déclaré irrecevable (cf. ATF 142 I 155 consid. 4.4.2; voir également arrêt 1C_611/2020 du 10 mai 2021 consid. 1.2 et les arrêts cités). Au demeurant et à rigueur de texte, ni l' art. 4 LAT (cf. MUGGLI/RUEDI, in Commentaire pratique LAT: Autorisation de construire, protection juridique et procédure, 2020, n. 21 ss ad art. 4 LAT ) ni l'art. 108 al. 3 LATC n'imposent la mise en oeuvre d'une telle mesure au stade de la panification. Au surplus, dès lors que c'est le profilement de la construction à l'enquête qui a été réalisé, conformément au texte même de l'art. 108 al. 3 LATC, on ne discerne pas où résiderait l'arbitraire dans le cas particulier. Le grief est partant rejeté dans la mesure de sa recevabilité.</w:t>
      </w:r>
    </w:p>
    <w:p>
      <w:r>
        <w:rPr>
          <w:b/>
        </w:rPr>
        <w:t>E. 5</w:t>
      </w:r>
    </w:p>
    <w:p>
      <w:r>
        <w:t>Les recourants invoquent encore une application arbitraire de l'art. 3.3 al. 2 RPQ "en conjonction" avec l' art. 22 al. 2 let. a LAT . Ils soutiennent que le projet dépasserait la SPd maximale autorisée. Selon eux, les espaces de rangement prévus dans les combles auraient dû être comptabilisés, ceux-ci pouvant être réunis aux chambres voisines par la suppression du galandage. A suivre les recourants, la surface d'escalier aurait également dû être prise en compte dans le calcul de la SPd.</w:t>
      </w:r>
    </w:p>
    <w:p>
      <w:r>
        <w:rPr>
          <w:b/>
        </w:rPr>
        <w:t>E. 5.1</w:t>
      </w:r>
    </w:p>
    <w:p>
      <w:r>
        <w:t>D'emblée, il convient de relever que c'est en vain que les recourants tentent de porter leur grief sur le terrain du droit fédéral en invoquant l' art. 22 al. 2 let. a LAT . Il appartient en effet au droit cantonal et communal de définir les utilisations permises dans chacune des zones constructibles (cf. ALEXANDER RUCH, in Commentaire pratique LAT: Autorisation de construire, protection juridique et procédure, 2020, n. 78 ad art. 22 LAT ). S'agissant des SPd admissibles, l'art. 3.3 al. 2 RPQ prévoit que la capacité constructive d'un bien-fonds est fixée pour chaque périmètre d'évolution des constructions [PEC] mentionné sur le plan au moyen d'une SPd calculée conformément à la norme suisse applicable (al. 1). La capacité constructive de la zone d'habitation de moyenne densité correspond à une SPd maximum de 4'850 m². Cette capacité constructive, limitée pour chacun des périmètres d'évolution des constructions mentionnés sur le plan et les coupes, est répartie de la manière suivante: Périmètre d'évolution des constructions n° 1: 850 m² de SPd; Périmètre d'évolution des constructions n° 2: 1'600 m² de SPd; Périmètre d'évolution des constructions n° 3: 2'400 m² de SPd (al. 2).</w:t>
      </w:r>
    </w:p>
    <w:p>
      <w:r>
        <w:rPr>
          <w:b/>
        </w:rPr>
        <w:t>E. 5.2</w:t>
      </w:r>
    </w:p>
    <w:p>
      <w:r>
        <w:t>Le projet litigieux prévoit, dans les combles des deux immeubles, des pièces borgnes affectées au rangement; elles jouxtent des chambres éclairées par un grand velux. Il s'agit de pièces d'au plus 6 m², insérées sous la toiture en pente entre la salle de bain (ou la cage d'ascenseur) côté faîte et le mur d'embouchature. La cour cantonale a reconnu que ces réduits pourraient être intégrés aux chambres par l'abattage du galandage. Ils demeureraient cependant inhabitables en raison de leur exiguïté, de la hauteur du plafond à son point le plus élevé et de la pente significative de la toiture. Ces espaces de rangement répondaient enfin à un besoin des occupants. Dans ces conditions, c'est à juste titre qu'ils avaient été exclus de la SPd.</w:t>
      </w:r>
    </w:p>
    <w:p>
      <w:r>
        <w:rPr>
          <w:b/>
        </w:rPr>
        <w:t>E. 5.2.1</w:t>
      </w:r>
    </w:p>
    <w:p>
      <w:r>
        <w:t>Les recourants contestent cette appréciation; leurs explications fondées sur la norme SIA 416, applicable selon eux par renvoi de l'art. 3.3 RPQ, ne convainquent cependant pas. Compte tenu des caractéristiques des réduits dépeintes par l'instance précédente - que les recourants ne discutent pas - il n'apparaît en effet pas insoutenable de considérer que ceux-ci constituent des surfaces utiles secondaires - non comprises dans la SPd - complétant les fonctions de la surface utile principale, au sens de la norme SIA 416 (cf. norme SIA 416 ch. 2.1.1.2); la norme cite d'ailleurs en exemple et à ce titre, les buanderies, les greniers et caves, les débarras, les garages, les abris de protection civile et les locaux à poubelles ( ibidem ). Rien, dans l'argumentation des recourants, ne permet d'ailleurs de mettre en doute le besoin de rangement des occupants auquel répondent ces réduits, sur lequel il n'y a dès lors pas non plus lieu de revenir.</w:t>
      </w:r>
    </w:p>
    <w:p>
      <w:r>
        <w:rPr>
          <w:b/>
        </w:rPr>
        <w:t>E. 5.2.2</w:t>
      </w:r>
    </w:p>
    <w:p>
      <w:r>
        <w:t>Enfin, outre qu'aucune critique n'a été soulevée à ce propos au stade du recours cantonal (cf. recours cantonal du 13 juin 2019, p. 6 s.; déterminations cantonales du 28 mai 2020, p. 3 s.), il n'apparaît pas que la prise en compte de la "surface d'escalier considérée comme un vide (en rouge) " (cf. Annexe 1, corrigé le 15 août 2019: Calcul des surfaces de plancher déterminantes) conduise à un dépassement de la SPd maximale de 4'000 m² prévue pour les PEC 2 et 3. En effet, comme le relève la municipalité, le projet litigieux présente une SPd de 3'972 m² ( ibidem ), soit une marge de 28 m². Or, à la lumière des plans et faute d'explications précises des recourants, cette marge permet, sans conduire au dépassement des maxima fixés par l'art. 3.3 RPQ, d'englober cette surface d'escalier, comme le relève également la municipalité en réponse au recours - et pour peu qu'il eût été nécessaire d'en tenir compte. En réplique, les recourants ne le contestent au demeurant pas sérieusement, leurs explications restant vagues et générales.</w:t>
      </w:r>
    </w:p>
    <w:p>
      <w:r>
        <w:rPr>
          <w:b/>
        </w:rPr>
        <w:t>E. 5.3</w:t>
      </w:r>
    </w:p>
    <w:p>
      <w:r>
        <w:t>Par conséquent et pour peu qu'il soit suffisamment motivé, le grief doit être rejeté.</w:t>
      </w:r>
    </w:p>
    <w:p>
      <w:r>
        <w:rPr>
          <w:b/>
        </w:rPr>
        <w:t>E. 6</w:t>
      </w:r>
    </w:p>
    <w:p>
      <w:r>
        <w:t>Les recourants se plaignent encore d'une application arbitraire des art. 6.2 RPQ et 24 al. 3 LATC. Le projet prévoirait un nombre de places de stationnement supérieur à ce qu'autoriserait la norme VSS à laquelle renvoie le RPQ.</w:t>
      </w:r>
    </w:p>
    <w:p>
      <w:r>
        <w:rPr>
          <w:b/>
        </w:rPr>
        <w:t>E. 6.1</w:t>
      </w:r>
    </w:p>
    <w:p>
      <w:r>
        <w:t>L'art. 24 LATC règle le contenu des plans d'affectation. Selon l'art. 24 al. 3 LATC, ceux-ci peuvent également contenir d'autres dispositions en matière d'aménagement du territoire et de restriction du droit à la propriété que celles prévues aux al. 1 et 2, pour autant qu'elles ne soient pas contraires à la loi et au plan directeur cantonal (cf. art. 24 al. 3 1 ère phrase LATC). Ils prévoient en particulier des références aux normes professionnelles en matière de stationnement (al. 3 2ème phrase). Sur le plan de la planification communale, l'art. 6.2 RPQ prévoit que les besoins en places de stationnement pour les véhicules motorisés et les vélos sont définis par les normes VSS en vigueur lors de la demande de permis de construire (al. 1). Sous réserve du parking temporaire et des places autorisées dans l'aire de la cour, toutes les places de parc pour véhicules motorisés doivent être disposées à l'intérieur de garages enterrés (al. 2). La question du stationnement n'est cependant pas exclusivement réglée par cette disposition. L'art. 6.3 RPQ dispose en effet que pour répondre aux besoins de stationnement des véhicules motorisés de la zone du site construit protégé, alors que le parking enterré compris dans la zone d'habitation de moyenne densité sur la parcelle 932 n'est pas encore construit, la commune autorise à titre précaire l'aménagement d'un parking de 20 places maximum en surface au sud de la zone d'habitation de moyenne densité dans l'aire de jardin collectif.</w:t>
      </w:r>
    </w:p>
    <w:p>
      <w:r>
        <w:rPr>
          <w:b/>
        </w:rPr>
        <w:t>E. 6.2</w:t>
      </w:r>
    </w:p>
    <w:p>
      <w:r>
        <w:t>Les recourants reconnaissent que cette problématique n'a pas été traitée par l'instance précédente. Ils ne prétendent cependant pas que la cour cantonale se serait rendue coupable d'un déni de justice en n'examinant pas ce grief (cf. art. 29 al. 2 Cst. ). Ils affirment en revanche qu'il s'agirait d'une violation flagrante et grave des dispositions applicables dont il aurait appartenu à la cour cantonale de se saisir d'office. Ce faisant, ils ne démontrent cependant pas que le Tribunal cantonal aurait violé les règles cantonales de procédure (s'agissant notamment du contenu et de la forme du mémoire de recours cantonal, cf. art. 79 de la loi cantonale sur la procédure administrative du 28 octobre 2008 [LPA-VD; RS/VD 173.36] par renvoi de l' art. 99 LPA -VD) en n'examinant pas d'office cette problématique, laquelle relève de surcroît exclusivement du droit cantonal (respectivement communal). Le vice dont ils se prévalent n'apparaît d'ailleurs pas manifeste. En effet, contrairement à ce qu'avancent les recourants, les 59 emplacements prévus par le projet, prenant place dans le parking souterrain prévu dans la zone de moyenne densité, ne sont pas uniquement destinés aux 29 logements projetés; on comprend des art. 6.2 et 6.3 RPQ - lus conjointement - que le parking devra également répondre aux besoins de la zone de site construit protégé (cf. également rapport du Collège d'experts du 8 mars 2017, ch. 3.1, p. 7; rapport 47 OAT du PQ "yyy", p. 26). Or, ainsi considéré, le besoin en places de stationnement n'apparaît pas manifestement contraire à la norme VSS 64 02 81 (art. 9.1, qui prévoit en résumé 1 place par 100 m² de surface brute de plancher ou par appartement + 10% du nombre de cases pour les visiteurs) dont se prévalent les recourants. Dans ces conditions, le Tribunal fédéral ne voit pas de motifs d'examiner plus avant le présent grief de droit cantonal, soulevé pour la première fois devant lui; celui-ci doit être déclaré irrecevable (cf. arrêts 1C_276/2020 du 16 février 2021 consid. 3.4; 1C_222/2019 du 4 septembre 2020; 1C_413/2019 du 24 mars 2020 consid. 4.3.4; 1C_483/2018 du 13 mai 2019 consid. 3.2.2).</w:t>
      </w:r>
    </w:p>
    <w:p>
      <w:r>
        <w:rPr>
          <w:b/>
        </w:rPr>
        <w:t>E. 7</w:t>
      </w:r>
    </w:p>
    <w:p>
      <w:r>
        <w:t>Les recourants se prévalent enfin d'une application arbitraire des art. 46 LPNMS, 86 LATC et 3.4 al. 2 RPQ. Leur grief ne recèle cependant aucune motivation répondant aux exigences de l' art. 106 al. 2 LTF en lien avec les dispositions de droit cantonal, dont il n'appartient pas au Tribunal fédéral d'examiner d'office l'application; dans cette mesure, le grief est irrecevable. Seule la question de la concordance des matériaux et des couleurs, au sens de l'art. 3.4 al. 2 RPQ, étant en réalité discutée par les recourants, la Cour de céans se limitera à l'examen de celle-ci ( art. 106 al. 2 LTF ).</w:t>
      </w:r>
    </w:p>
    <w:p>
      <w:r>
        <w:rPr>
          <w:b/>
        </w:rPr>
        <w:t>E. 7.1</w:t>
      </w:r>
    </w:p>
    <w:p>
      <w:r>
        <w:t>Aux termes de l'art. 3.4 al. 2 RPQ, les matériaux et les couleurs des nouvelles constructions doivent être en concordance avec ceux du château et de ses annexes.</w:t>
      </w:r>
    </w:p>
    <w:p>
      <w:r>
        <w:rPr>
          <w:b/>
        </w:rPr>
        <w:t>E. 7.2</w:t>
      </w:r>
    </w:p>
    <w:p>
      <w:r>
        <w:t>La cour cantonale a rappelé que le projet "xxx" prévoyait un habillage entièrement en bois, selon différentes mises en oeuvre de ce matériau. Ces façades avaient été approuvées par le Collège d'experts le 8 mars 2017, qui avait relevé que ce traitement simple et contemporain permettait de laisser au château sa place symbolique tout en assurant une identité propre au projet. Cette appréciation avait été reprise par la municipalité dans son préavis du 3 novembre 2017 et approuvée par le Conseil communal. Le bois faisait écho à d'anciens ruraux, à l'instar d'une partie de la façade nord du bâtiment ECA 66 (habitation), ainsi qu'au passé agricole du domaine. Le fait que le château, le solde du bâtiment ECA 66 et le bâtiment ECA 68 (bâtiment) étaient en matériaux minéraux (pierre, crépi, brique) ne créerait pas de disharmonie dommageable. Prétendre, comme le font les recourants, que les exigences de concordance de l'art. 3.4 al. 2 RPQ ne seraient pas respectées au motif que le château et ses dépendances seraient d'apparence minérale alors que les bâtiments prévus seront entièrement en bois, est insuffisant à remettre en cause le projet. Les recourants se contentent ce faisant d'opposer leur propre appréciation du projet à celle de l'instance précédente, sans toutefois en démontrer l'arbitraire. Au demeurant et contrairement à ce qu'ils soutiennent - à tout le moins implicitement - les bâtiments existants sur le site du château ne sont pas exclusivement composés d'éléments minéraux: lors de l'inspection locale, la cour cantonale a constaté que les façades nord des ruraux étaient intégralement en bois. L'utilisation du bois a en outre été jugée compatible avec le caractère sensible - bien que non inscrit à l'ISOS en tant qu'objet d'importance nationale - du site du château, ce non seulement par la commune, mais également, comme le relève l'arrêt attaqué, par le Collège d'expert ainsi que par la DGIP, service cantonal spécialisé. Or les recourants ne discutent aucunement les approches fouillées de ces différents acteurs spécialisés. Dans ces conditions, il n'apparaît pas manifestement insoutenable de retenir l'existence d'une concordance de matières et de couleurs entre le site du château et le projet litigieux. Compte tenu de surcroît du large pouvoir d'appréciation dont bénéficient les autorités locales en matière d'intégration et d'esthétique,et de la retenue que s'impose le Tribunal fédéral en cette matière (cf. ATF 142 I 162 consid. 3.2.2; arrêt 1C_340/2020 du 25 février 2021 consid. 2.3), la solution de la cour cantonale doit être confirmée. Le grief est par conséquent rejeté dans la mesure de sa recevabilité.</w:t>
      </w:r>
    </w:p>
    <w:p>
      <w:r>
        <w:rPr>
          <w:b/>
        </w:rPr>
        <w:t>E. 8</w:t>
      </w:r>
    </w:p>
    <w:p>
      <w:r>
        <w:t>Les considérants qui précèdent conduisent au rejet du recours, dans la mesure de sa recevabilité, aux frais des recourants, qui succombent ( art. 66 al. 1 et 5 LTF ). Ceux-ci verseront en outre des dépens à la constructrice intimée, qui obtient gain de cause avec l'assistance d'un avocat ( art. 68 al. 1 et 4 LTF ). La commune,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