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1C_50/2017 vom 16. Mai 2017</w:t>
      </w:r>
    </w:p>
    <w:p>
      <w:r>
        <w:t>Bundesgericht, 2017-05-16, DE</w:t>
      </w:r>
    </w:p>
    <w:p>
      <w:r>
        <w:rPr>
          <w:b/>
        </w:rPr>
        <w:t xml:space="preserve">Quelle: </w:t>
      </w:r>
      <w:r>
        <w:t>https://mcp.opencaselaw.ch/entscheid/bger_1C_50_2017</w:t>
      </w:r>
    </w:p>
    <w:p>
      <w:r>
        <w:t>FR: TF 1C_50/2017 du 16 mai 2017</w:t>
      </w:r>
    </w:p>
    <w:p>
      <w:r>
        <w:t>IT: TF 1C_50/2017 del 16 maggio 2017</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ist nicht gegeben ( Art. 83 BGG ). Da die übrigen Sachurteilsvoraussetzungen erfüllt sind, ist auf die Beschwerde in öffentlich-rechtlichen Angelegenheiten einzutreten.</w:t>
      </w:r>
    </w:p>
    <w:p>
      <w:r>
        <w:rPr>
          <w:b/>
        </w:rPr>
        <w:t>E. 1.2</w:t>
      </w:r>
    </w:p>
    <w:p>
      <w:r>
        <w:t>Die Verfassungsbeschwerde ist im Verhältnis zur Beschwerde in öffentlich-rechtlichen Angelegenheiten subsidiär ( Art. 113 BGG ). Weil vorliegend die Beschwerde in öffentlich-rechtlichen Angelegenheiten zulässig ist, ist auf die vom Beschwerdeführer gleichzeitig erhobene Verfassungsbeschwerde nicht einzutreten. Soweit der Beschwerdeführer eine Verletzung seiner verfassungsmässigen Rechte in genügender Weise rügt (vgl. Art. 42 i.V.m. Art. 106 Abs. 2 BGG ), ist darauf im Rahmen der von ihm erhobenen Beschwerde in öffentlich-rechtlichen Angelegenheiten einzugehen.</w:t>
      </w:r>
    </w:p>
    <w:p>
      <w:r>
        <w:rPr>
          <w:b/>
        </w:rPr>
        <w:t>E. 2</w:t>
      </w:r>
    </w:p>
    <w:p>
      <w:r>
        <w:t>Der Beschwerdeführer anerkennt den im Strafverfahren ermittelten Sachverhalt, wonach er vor einer Baustelle und einer unübersichtlichen Rechtskurve zwei vor dem roten Lichtsignal stillstehende Personenwagen überholt und anschliessend das Lichtsignal bei Rot passiert hat. Er macht indessen geltend, das angefochtene Urteil sei bundesrechtswidrig, weil die Vorinstanz sich einzig auf den im Strafverfahren ermittelten Sachverhalt abgestützt habe. Wie der Beschwerde entnommen werden kann, hätte die Vorinstanz nach Ansicht des Beschwerdeführers in tatsächlicher Hinsicht zusätzlich berücksichtigen müssen, dass im fraglichen Bereich eine signalisierte Höchstgeschwindigkeit von 80 km/h bestanden habe, die Lichtsignalanlage auf die langsamsten Verkehrsteilnehmer (Fahrräder) bzw. eine Geschwindigkeit von 10 km/h eingestellt gewesen sei, kurz vor dem Beschwerdeführer noch andere Fahrzeuge das Lichtsignal passiert hätten, der Beschwerdeführer vor dem Überholmanöver noch ein Stück weit in die Kurve habe Einblick nehmen können und gute Strassen- sowie Wetterverhältnisse geherrscht hätten.</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Wie sich aus den nachfolgenden Erwägungen ergibt, sind die erwähnten, erst im Verwaltungsverfahren erhobenen tatsächlichen Einwendungen des Beschwerdeführers für die zu beurteilenden Rechtsfragen nicht wesentlich bzw. vermag der Beschwerdeführer nicht darzutun, inwiefern die Vorinstanz den</w:t>
      </w:r>
    </w:p>
    <w:p>
      <w:r>
        <w:t>entscheidwesentlichen Sachverhalt offensichtlich unrichtig festgestellt haben sollte. Damit erübrigt sich die Beantwortung der Frage, ob der Beschwerdeführer - wovon die Vorinstanz ausging - nach Treu und Glauben verpflichtet gewesen wäre, die Feststellung des Sachverhalts betreffende Rügen schon im Rahmen des (summarischen) Strafverfahrens vorzubringen sowie allenfalls schon im Strafverfahren die nötigen Rechtsmittel zu ergreifen (vgl. dazu BGE 123 II 97 E. 3c/aa S. 103; Urteil 1C_503/2016 vom 12. Januar 2017 E. 3.1 mit Hinweisen). Unbehelflich ist unter diesen Umständen sodann der Einwand des Beschwerdeführers, die Vorinstanz habe seinen Anspruch auf rechtliches Gehör verletzt, indem sie ihm - ohne dass er sich hierzu vorgängig habe äussern können - entgegengehalten habe, er habe aufgrund eines Ausweisentzugs im Jahr 2014 wissen müssen, dass er die Feststellung des Sachverhalts betreffende Rügen schon im Rahmen des Strafverfahrens vorzubringen hatte. Immerhin ist in diesem Zusammenhang darauf hinzuweisen, dass der Beschwerdeführer mit Schreiben des Strassenverkehrsamts vom 29. Juli 2015 ausdrücklich darauf hingewiesen wurde, dass die Beurteilung des Falls durch die Strafbehörde auf das Administrativverfahren einen wesentlichen Einfluss habe.</w:t>
      </w:r>
    </w:p>
    <w:p>
      <w:r>
        <w:rPr>
          <w:b/>
        </w:rPr>
        <w:t>E. 3.1</w:t>
      </w:r>
    </w:p>
    <w:p>
      <w:r>
        <w:t>Der Beschwerdeführer rügt eine Verletzung seines Anspruchs auf rechtliches Gehör, da sich die Vorinstanz nicht genügend mit seinen Rügen auseinandergesetzt habe.</w:t>
      </w:r>
    </w:p>
    <w:p>
      <w:r>
        <w:rPr>
          <w:b/>
        </w:rPr>
        <w:t>E. 3.2</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 134 I 83 E. 4.1 S. 88; je mit Hinweisen).</w:t>
      </w:r>
    </w:p>
    <w:p>
      <w:r>
        <w:rPr>
          <w:b/>
        </w:rPr>
        <w:t>E. 3.3</w:t>
      </w:r>
    </w:p>
    <w:p>
      <w:r>
        <w:t>Diesen Anforderungen genügt der angefochtene Entscheid. Der Beschwerdeführer lässt ausser Acht, dass die Vorinstanz im angefochtenen Urteil auf die geltend gemachte fehlende objektive Gefährdungssituation einging und sie ihre entsprechenden Überlegungen nannte (angefochtener Entscheid E. 4c S. 12 f.). Dass sie dabei ergänzend auch auf die aus ihrer Sicht zutreffenden Erwägungen des Entscheids des DJSG verwies, schadet dem nicht. Sie machte deutlich, dass sie die Vorbringen des Beschwerdeführers als unzutreffend erachtete, namentlich weil dieser wesentliche Punkte ausgeklammert habe. Der Beschwerdeführer war in der Lage, das angefochtene Urteil sachgerecht anzufechten, weshalb eine Verletzung der Begründungspflicht zu verneinen ist.</w:t>
      </w:r>
    </w:p>
    <w:p>
      <w:r>
        <w:rPr>
          <w:b/>
        </w:rPr>
        <w:t>E. 4</w:t>
      </w:r>
    </w:p>
    <w:p>
      <w:r>
        <w:t>Streitig ist, ob die Vorinstanz das Verhalten des Beschwerdeführers zu Recht als schwere Widerhandlung im Sinne von Art. 16c Abs. 1 lit. a SVG erachtete.</w:t>
      </w:r>
    </w:p>
    <w:p>
      <w:r>
        <w:rPr>
          <w:b/>
        </w:rPr>
        <w:t>E. 4.1</w:t>
      </w:r>
    </w:p>
    <w:p>
      <w:r>
        <w:t>Im Zusammenhang mit dem administrativen Führerausweisentzug unterscheidet das Gesetz zwischen der leichten, mittelschweren und schweren Widerhandlung ( Art. 16a-c SVG ). Eine leichte Widerhandlung begeht, wer durch Verletzung von Verkehrsregeln eine geringe Gefahr für die Sicherheit anderer hervorruft und ihn dabei nur ein leichtes Verschulden trifft ( Art. 16a Abs. 1 lit. a SVG ). Eine mittelschwere Widerhandlung begeht, wer durch Verletzung von Verkehrsregeln eine Gefahr für die Sicherheit anderer hervorruft oder in Kauf nimmt ( Art. 16b Abs. 1 lit. a SVG ). Eine schwere Widerhandlung begeht, wer durch grobe Verletzung von Verkehrsregeln eine ernstliche Gefahr für die Sicherheit anderer hervorruft oder in Kauf nimmt ( Art. 16c Abs. 1 lit. a SVG ).</w:t>
      </w:r>
    </w:p>
    <w:p>
      <w:r>
        <w:t>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S. 136; Urteil 1C_588/2015 vom 14. April 2016 E. 2.2; je mit Hinweisen).</w:t>
      </w:r>
    </w:p>
    <w:p>
      <w:r>
        <w:rPr>
          <w:b/>
        </w:rPr>
        <w:t>E. 4.2</w:t>
      </w:r>
    </w:p>
    <w:p>
      <w:r>
        <w:t>Signale und Markierungen sowie die Weisungen der Polizei sind zu befolgen ( Art. 27 Abs. 1 Satz 1 SVG ). Überholen und Vorbeifahren an Hindernissen ist nur gestattet, wenn der nötige Raum übersichtlich und frei ist und der Gegenverkehr nicht behindert wird. Im Kolonnenverkehr darf nur überholen, wer die Gewissheit hat, rechtzeitig und ohne Behinderung anderer Fahrzeuge wieder einbiegen zu können ( Art. 35 Abs. 2 SVG ). In unübersichtlichen Kurven, auf und unmittelbar vor Bahnübergängen ohne Schranken sowie vor Kuppen darf nicht überholt werden, auf Strassenverzweigungen nur, wenn sie übersichtlich sind und das Vortrittsrecht anderer nicht beeinträchtigt wird ( Art. 35 Abs. 4 SVG ).</w:t>
      </w:r>
    </w:p>
    <w:p>
      <w:r>
        <w:t>Der Beschwerdeführer bestreitet nicht, vor einer unübersichtlichen Rechtskurve mit Baustelle auf der Gegenfahrbahn an zwei vor einem Rotlicht stillstehenden Fahrzeugen vorbeigefahren zu sein. Er hat durch das Missachten der auf Rot stehenden Lichtsignalanlage - wie bereits im Strafverfahren festgestellt - Art. 27 Abs. 1 SVG verletzt. Weiter hat er durch das Überholmanöver Art. 35 Abs. 2 SVG verletzt, da es an der genügenden Länge der Überholspur fehlte, um das Manöver rechtzeitig - also vor der auf Rot stehenden Lichtsignalanlage - abschliessen zu können (vgl. BGE 121 IV 235 E. 1b S. 237). Da das Überholmanöver im Bereich der unübersichtlichen Rechtskurve bzw. der Baustelle beendet wurde, verletzte der Beschwerdeführer auch Art. 35 Abs. 4 SVG .</w:t>
      </w:r>
    </w:p>
    <w:p>
      <w:r>
        <w:rPr>
          <w:b/>
        </w:rPr>
        <w:t>E. 4.3</w:t>
      </w:r>
    </w:p>
    <w:p>
      <w:r>
        <w:t>Bestritten wird vom Beschwerdeführer, dass er durch die Verkehrsregelverletzungen eine (ernsthafte) Gefahr für andere Verkehrsteilnehmer hervorgerufen habe.</w:t>
      </w:r>
    </w:p>
    <w:p>
      <w:r>
        <w:t>Wie aus den Akten des Strafverfahrens hervorgeht und vom Beschwerdeführer nicht bestritten wird, fuhr der Beschwerdeführer am Lichtsignal vorbei, nachdem dieses mindestens seit fünf Sekunden auf Rot geschaltet hatte. Nach dem Lichtsignal verengte sich die Strasse im Bereich der ca. 100 Meter langen Baustelle auf eine Spur, wobei das Ende der Baustelle aufgrund der Rechtskurve nicht einsehbar und diese damit unübersichtlich war. Der Beschwerdeführer konnte somit nicht überblicken, ob ihm nicht auf der einspurig befahrbaren Strecke jemand entgegen kommt und durfte nicht darauf vertrauen, dass die Strecke frei ist. Daran ändert sein Einwand nichts, er habe ein Stück weit in die Kurve Einblick nehmen können und es hätten gute Strassen- sowie Wetterverhältnisse geherrscht (vgl. E. 2 hiervor).</w:t>
      </w:r>
    </w:p>
    <w:p>
      <w:r>
        <w:t>Es ist davon auszugehen, dass zum Tatzeitpunkt, um 11.55 Uhr, auf der Baustelle gearbeitet wurde. In der Nähe von Baustellen ist - wie der Beschwerdeführer selbst einräumt - allgemein besonders vorsichtiges Fahren notwendig und es werden hohe Anforderungen an das Verhalten und an die Aufmerksamkeit der passierenden Fahrzeuglenker gestellt, da in diesem Bereich mit allfälligen Hindernissen und mit Baustellenpersonal gerechnet werden muss. Dies trifft auch dann zu, wenn - wie der Beschwerdeführer vorbringt - die signalisierte Höchstgeschwindigkeit 80 km/h betragen hat (vgl. E. 2 hiervor). Die durch die deutlich zu späte Durchfahrt entstehende Lücke zu voranfahrenden Fahrzeugen konnte Baustellenarbeiter veranlassen, die Fahrbahn zu überschreiten oder Baustellenfahrzeuge in die eine oder andere Richtung zu verschieben. Da einzelne Arbeiter oder ein Baustellenfahrzeug nicht mit einem herannahenden Fahrzeug aus dieser Richtung hätten rechnen müssen, hat der Beschwerdeführer ein erhebliches Unfallrisiko geschaffen. Der Beschwerdeführer durfte nicht davon ausgehen, dass die Baustellenarbeiter vor jeder Überquerung der Fahrbahn oder Verschiebung eines Baustellenfahrzeugs zuerst die beiden Lichtsignalanlagen auf Rot schalten würden, dürfen sie doch aufgrund des Vertrauensgrundsatzes ( Art. 26 SVG ) grundsätzlich darauf vertrauen, dass Fahrzeuglenker das Fahrverbot bei rotem Lichtsignal beachten. Das zu späte Durchfahren durch eine mittels Lichtsignal gesicherte, einspurig befahrbare Baustelle erhöht sodann die Bereitschaft, schneller zu fahren, um noch rechtzeitig durchzukommen. So gibt der Beschwerdeführer an, er habe zu den das Lichtsignal vor ihm passierten Fahrzeugen aufschliessen wollen.</w:t>
      </w:r>
    </w:p>
    <w:p>
      <w:r>
        <w:t>Der Beschwerdeführer gefährdete durch sein deutlich zu spätes Durchfahren sodann auch allfällige entgegenkommende Fahrzeuge. Die Gefahr für entgegenkommende Fahrzeuge ergibt sich auch daraus, dass im Baustellenbereich eine Verzögerung der Durchfahrt aufgrund eines Hindernisses oder eines rangierenden Baustellenfahrzeugs nicht aussergewöhnlich ist, und damit die Rotphase der anderen Lichtsignalanlage enden könnte, während der Beschwerdeführer sich noch im einspurigen Baustellenbereich befindet. Daran ändert auch der Einwand nichts, die Lichtsignalanlage sei auf eine Geschwindigkeit von 10 km/h eingestellt gewesen (vgl. E. 2 hiervor). Allfällige entgegenkommende Verkehrsteilnehmer mussten nicht mit Gegenverkehr rechnen. Es bestand eine erhebliche Gefahr, dass ein entgegenkommender Fahrzeuglenker nicht mehr rechtzeitig hätte bremsen können oder wegen des unvermuteten Gegenverkehrs eine Fehlmanipulation vorgenommen hätte. Der Beschwerdeführer bewirkte mit seinem Verhalten somit eine erhöhte abstrakte Gefährdung anderer Verkehrsteilnehmer, da der Eintritt einer konkreten Gefährdung aufgrund seines Verhaltens nahe lag.</w:t>
      </w:r>
    </w:p>
    <w:p>
      <w:r>
        <w:rPr>
          <w:b/>
        </w:rPr>
        <w:t>E. 4.4</w:t>
      </w:r>
    </w:p>
    <w:p>
      <w:r>
        <w:t>Der Beschwerdeführer durfte in subjektiver Hinsicht nicht darauf vertrauen, trotz Rotlicht und einem Überholmanöver die Fahrbahn für sich alleine zu haben und niemanden zu gefährden. Dass im Übrigen in subjektiver Hinsicht eine Ausnahmesituation vorgelegen hätte, macht er nicht geltend und geht aus den Akten nicht hervor. Vielmehr hat der Beschwerdeführer sich bewusst und ohne Not zu seiner verkehrsgefährdenden Handlung entschieden, womit ein schweres Verschulden ohne Weiteres gegeben ist. Die Beurteilung der Widerhandlung des Beschwerdeführers als schwer im Sinne von Art. 16c Abs. 1 lit. a SVG erweist sich somit als bundesrechtskonform.</w:t>
      </w:r>
    </w:p>
    <w:p>
      <w:r>
        <w:rPr>
          <w:b/>
        </w:rPr>
        <w:t>E. 5</w:t>
      </w:r>
    </w:p>
    <w:p>
      <w:r>
        <w:t>Gemäss Art. 16c Abs. 2 lit. c SVG wird der Führerausweis nach einer schweren Widerhandlung für mindestens zwölf Monate entzogen, wenn in den vorangegangenen fünf Jahren der Ausweis einmal wegen einer schweren Widerhandlung entzogen war. Die gesetzliche Mindestentzugsdauer darf nicht unterschritten werden ( Art. 16 Abs. 3 Satz 2 SVG ; vgl. BGE 141 II 220 E. 3.3.3 S. 226).</w:t>
      </w:r>
    </w:p>
    <w:p>
      <w:r>
        <w:t>Dem Beschwerdeführer wurde am 28. Mai 2014 der Führerausweis für drei Monate wegen einer schweren Widerhandlung entzogen. Da vorliegend die Mindestentzugsdauer von zwölf Monaten angeordnet worden ist, bleibt kein Raum für eine Berücksichtigung allfälliger anderer Faktoren.</w:t>
      </w:r>
    </w:p>
    <w:p>
      <w:r>
        <w:rPr>
          <w:b/>
        </w:rPr>
        <w:t>E. 6</w:t>
      </w:r>
    </w:p>
    <w:p>
      <w:r>
        <w:t>Nach dem Ausgeführten ist die Beschwerde in öffentlich-rechtlichen Angelegenheiten abzuweisen. 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