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509/2017 vom 6. Oktober 2017</w:t>
      </w:r>
    </w:p>
    <w:p>
      <w:r>
        <w:t>Bundesgericht, 2017-10-06, DE</w:t>
      </w:r>
    </w:p>
    <w:p>
      <w:r>
        <w:rPr>
          <w:b/>
        </w:rPr>
        <w:t xml:space="preserve">Quelle: </w:t>
      </w:r>
      <w:r>
        <w:t>https://mcp.opencaselaw.ch/entscheid/bger_1C_509_2017</w:t>
      </w:r>
    </w:p>
    <w:p>
      <w:r>
        <w:t>FR: TF 1C 509/2017 du 6 octobre 2017</w:t>
      </w:r>
    </w:p>
    <w:p>
      <w:r>
        <w:t>IT: TF 1C 509/2017 del 6 ottobre 2017</w:t>
      </w:r>
    </w:p>
    <w:p>
      <w:pPr>
        <w:pStyle w:val="Heading2"/>
      </w:pPr>
      <w:r>
        <w:t>Regeste</w:t>
      </w:r>
    </w:p>
    <w:p>
      <w:r>
        <w:t>Akteneinsicht | Verwaltungsverfahren</w:t>
      </w:r>
    </w:p>
    <w:p>
      <w:pPr>
        <w:pStyle w:val="Heading2"/>
      </w:pPr>
      <w:r>
        <w:t>Erwägungen</w:t>
      </w:r>
    </w:p>
    <w:p>
      <w:r>
        <w:rPr>
          <w:b/>
        </w:rPr>
        <w:t>E. 1</w:t>
      </w:r>
    </w:p>
    <w:p>
      <w:r>
        <w:t>A.________ erhob mit Eingabe vom 22. September 2017 (Postaufgabe 26. September 2017) Beschwerde in öffentlich-rechtlichen Angelegenheiten gegen die Verfügung des Verwaltungsgerichts des Kantons Zürich vom 22. August 2017. Das Bundesgericht verzichtet auf die Einholung von Vernehmlassungen.</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 Die angefochtene Verfügung des Verwaltungsgerichts des Kantons Zürich ist dem Beschwerdeführer nach eigenen Angaben am 25. August 2017 zugestellt worden. Die Beschwerdefrist begann somit am 26. August 2017 zu laufen ( Art. 44 Abs. 1 BGG ) und endete unter Berücksichtigung von Art. 45 Abs. 1 BGG am Montag, den 25. September 2017. Die auf den 22. September 2017 datierte Beschwerdeschrift trägt den Poststempel vom 26. September 2017. Sie ist somit nach Ablauf der 30-tägigen Beschwerdefrist und damit verspätet aufgegeben worden. Auf die Beschwerde ist demnach wegen verspäteter Einreichung nicht einzutreten. Der genannte Mangel ist offensichtlich, weshalb über die Beschwerde im vereinfachten Verfahren nach Art. 108 Abs. 1 BGG entschieden werden kann.</w:t>
      </w:r>
    </w:p>
    <w:p>
      <w:r>
        <w:rPr>
          <w:b/>
        </w:rPr>
        <w:t>E. 3</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