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1C_509/2008 vom 16. Dezember 2008</w:t>
      </w:r>
    </w:p>
    <w:p>
      <w:r>
        <w:t>Bundesgericht, 2008-12-16, FR</w:t>
      </w:r>
    </w:p>
    <w:p>
      <w:r>
        <w:rPr>
          <w:b/>
        </w:rPr>
        <w:t xml:space="preserve">Quelle: </w:t>
      </w:r>
      <w:r>
        <w:t>https://mcp.opencaselaw.ch/entscheid/bger_1C_509_2008</w:t>
      </w:r>
    </w:p>
    <w:p>
      <w:r>
        <w:t>FR: TF 1C_509/2008 du 16 décembre 2008</w:t>
      </w:r>
    </w:p>
    <w:p>
      <w:r>
        <w:t>IT: TF 1C_509/2008 del 16 dicembre 2008</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Il reproche implicitement au Tribunal administratif fédéral d'avoir abusé de son pouvoir d'appréciation dans l'examen des éléments fondant le retrait de la naturalisation et d'avoir ainsi rendu une décision contraire à la loi fédérale du 29 septembre 1952 sur l'acquisition et la perte de la nationalité suisse (LN; RS 141.0).</w:t>
      </w:r>
    </w:p>
    <w:p>
      <w:r>
        <w:rPr>
          <w:b/>
        </w:rPr>
        <w:t>E. 2.1</w:t>
      </w:r>
    </w:p>
    <w:p>
      <w:r>
        <w:t>En vertu de l' art. 27 al. 1 LN ,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 La communauté conjugale ainsi définie doit non seulement exister au moment du dépôt de la demande, mais elle doit subsister pendant toute la procédure jusqu'au prononcé de la décision d'octroi de la naturalisation facilitée ( ATF 130 II 482 consid. 2 p. 484).</w:t>
      </w:r>
    </w:p>
    <w:p>
      <w:r>
        <w:rPr>
          <w:b/>
        </w:rPr>
        <w:t>E. 2.1.1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2.1.2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cf. ATF 132 II 113 consid. 3.2 p. 115 s.), mais encore de son propre intérêt ( ATF 130 II 482 consid. 3.2 p. 485 s.).</w:t>
      </w:r>
    </w:p>
    <w:p>
      <w:r>
        <w:rPr>
          <w:b/>
        </w:rPr>
        <w:t>E. 2.2</w:t>
      </w:r>
    </w:p>
    <w:p>
      <w:r>
        <w:t>En l'espèce, comme l'a retenu le Tribunal administratif fédéral, l'intéressé menait une double vie depuis 1996, l'une aux côtés de son ex-épouse, l'autre avec la mère de sa fille. Un tel comportement, à plus forte raison lorsqu'il s'inscrit dans la durée, n'est guère compatible avec la notion de communauté conjugale voulue par l' art. 27 LN et concrétisée par la jurisprudence susmentionnée: il ne saurait constituer une véritable communauté de vie, effective et stable, tournée vers l'avenir, dans laquelle les époux se sont promis fidélité et assistance ( art. 159 al. 3 CC ). De plus, le recourant a trompé les autorités fédérales, puisqu'à l'appui de sa demande de naturalisation facilitée du 28 mars 2002, il s'est abstenu d'indiquer qu'il avait eu un enfant d'une relation extra-conjugale. Le Tribunal administratif fédéral a donc retenu à juste titre que si les autorités fédérales avaient été au courant de sa véritable situation familiale, l'intéressé n'aurait pas obtenu la naturalisation facilitée.</w:t>
      </w:r>
    </w:p>
    <w:p>
      <w:r>
        <w:t>Par ailleurs, le recourant a été condamné par le Tribunal de police du canton de Genève, par arrêt du 9 juillet 2003, à la peine de 18 mois d'emprisonnement avec sursis pour avoir importé en Suisse entre janvier 2000 et décembre 2002 plus d'un kilo d'héroïne. L'autorité genevoise a considéré que la faute commise par l'intéressé était grave, qu'il avait agi de façon régulière sur une période de près de trois ans et que les infractions portaient sur une quantité non négligeable de drogue. Le Tribunal administratif fédéral a dès lors retenu que le recourant avait derechef trompé les autorités fédérales en certifiant, par déclaration du 18 novembre 2002, avoir été respectueux de l'ordre juridique suisse et n'avoir commis aucun délit pouvant entraîner une poursuite judiciaire ou une condamnation.</w:t>
      </w:r>
    </w:p>
    <w:p>
      <w:r>
        <w:rPr>
          <w:b/>
        </w:rPr>
        <w:t>E. 2.3</w:t>
      </w:r>
    </w:p>
    <w:p>
      <w:r>
        <w:t>La condamnation pénale pour infraction grave à la loi fédérale du 3 octobre 1951 sur les stupéfiants et les substances psychotropes (LStup; RS 812.121) ainsi que le fait que le recourant a trompé les autorités fédérales en les informant ni de la naissance de sa fille issue d'une relation extra-conjugale, ni de la double vie qu'il menait avec son ex-épouse d'une part et avec la mère de sa fille d'autre part, suffisent, à eux seuls, à constater qu'il a manifestement obtenu la naturalisation facilitée sur la base de déclarations mensongères et d'une dissimulation de faits essentiels. Il n'est dès lors pas nécessaire que l'autorité se fonde sur une présomption pour établir que le couple n'avait plus la volonté de maintenir une communauté conjugale stable au sens de l' art. 27 LN , lors de la signature de la déclaration commune et à plus forte raison lors de l'octroi de la naturalisation. Les arguments avancés par le recourant pour tenter de renverser cette présomption tombent donc à faux.</w:t>
      </w:r>
    </w:p>
    <w:p>
      <w:r>
        <w:t>De même, les éléments supplémentaires contenus dans les divers rapports administratifs ne sont en définitive pas nécessaires pour fonder la décision d'annulation de la naturalisation, quand bien même ils sont retenus à l'appui de la décision attaquée. Le grief du recourant selon lequel il serait "contraire au droit fédéral de fonder la décision d'annulation de la naturalisation sur de simples faisceaux d'indices tirés [desdits] rapports, qui étaient déjà connus des autorités au moment de l'octroi de la naturalisation" peut dès lors être rejeté.</w:t>
      </w:r>
    </w:p>
    <w:p>
      <w:r>
        <w:t>De la même manière, le régime matrimonial de la séparation de biens choisi par les ex-époux, leur renoncement à tout partage des avoirs de prévoyance professionnelle ainsi que la rapidité avec laquelle le recourant a souscrit au souhait de son ex-épouse de divorcer, ne fondent pas, à eux seuls, la décision de retrait de la naturalisation. Le Tribunal administratif fédéral a précisé qu'ils ne constituaient que des indices propres à renforcer la démonstration que le recourant avait menti en déclarant former une communauté conjugale stable au moment de la signature de la déclaration commune de 2002. Dès lors, c'est à tort que le recourant reproche au Tribunal administratif fédéral d'avoir fondé sa décision sur ces éléments. C'est également en vain que le prénommé fait état de sa situation socio-professionnelle actuelle et se prévaut du fait qu'il n'a introduit une requête de naturalisation facilitée qu'après neuf ans de vie commune: ces faits sont sans pertinence pour déterminer s'il a obtenu la naturalisation par des déclarations mensongères au sens de l' art. 41 al. 1 LN .</w:t>
      </w:r>
    </w:p>
    <w:p>
      <w:r>
        <w:t>Ainsi, le fait que l'intéressé a trompé les autorités fédérales sur les éléments énoncés ci-dessus, suffit à établir que les conditions d'octroi de la naturalisation n'étaient manifestement pas remplies, et ce nonobstant le nombre d'années qu'il a passées en Suisse.</w:t>
      </w:r>
    </w:p>
    <w:p>
      <w:r>
        <w:t>Il découle de ce qui précède que les conditions d'application de l' art. 41 LN sont réunies et que le Tribunal administratif fédéral n'a pas abusé de son pouvoir d'appréciation en confirmant l'annulation de la naturalisation facilitée qui avait été octroyée au recourant.</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