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1C_507/2025 vom 2. Oktober 2025</w:t>
      </w:r>
    </w:p>
    <w:p>
      <w:r>
        <w:t>Bundesgericht, 2025-10-02, DE</w:t>
      </w:r>
    </w:p>
    <w:p>
      <w:r>
        <w:rPr>
          <w:b/>
        </w:rPr>
        <w:t xml:space="preserve">Quelle: </w:t>
      </w:r>
      <w:r>
        <w:t>https://mcp.opencaselaw.ch/entscheid/bger_1C_507_2025</w:t>
      </w:r>
    </w:p>
    <w:p>
      <w:r>
        <w:t>FR: TF 1C_507/2025 du 2 octobre 2025</w:t>
      </w:r>
    </w:p>
    <w:p>
      <w:r>
        <w:t>IT: TF 1C_507/2025 del 2 ottobre 2025</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um ein Sachgebiet, bei dem die Beschwerde nach Art. 84 Abs. 1 BGG insoweit möglich ist. Es handelt sich jedoch um keinen besonders bedeutenden Fall.</w:t>
      </w:r>
    </w:p>
    <w:p>
      <w:r>
        <w:t>Im vorinstanzlichen Verfahren war umstritten, ob der Beschwerdeführerin genügend Zeit zur Verfügung gestanden hatte, um ein Zustelldomizil in der Schweiz zu bezeichnen (vgl. Art. 9 IRSV [SR 351.11]; vgl. dazu Urteil 1A.107/2006 vom 10. August 2006 E. 2.5.2 mit Hinweisen). Das Bundesstrafgericht ging davon aus, dass die Beschwerdeführerin ab der Aufhebung des Mitteilungsverbots gegenüber der Bank C.________ AG dafür rund 10 Tage Zeit hatte. Es erwog weiter, die Beschwerdeführerin hätte aufzeigen können, dass sie von der Bank wider Erwarten nicht sofort informiert worden sei. Dies habe sie nicht getan. Die Beschwerdeführerin bringt diesbezüglich in ihrer Beschwerde an das Bundesgericht vor, die Frage, wie lange die ausführende Behörde nach der Aufhebung eines Mitteilungsverbots mit dem Erlass der Schlussverfügung zuwarten müsse, sei vom Bundesgericht zu klären. Allerdings behauptet sie nicht, dass sie im konkreten Fall nicht hinreichend Zeit für die Bezeichnung eines Zustelldomizils gehabt hätte. Den Zeitpunkt, zu dem die Bank sie über das Rechtshilfeverfahren informiert hat, legt sie auch im Verfahren vor Bundesgericht nicht offen. Vor diesem Hintergrund besteht kein Anlass, in abstrakter Weise die von ihr aufgeworfene Frage zu beantworten.</w:t>
      </w:r>
    </w:p>
    <w:p>
      <w:r>
        <w:t>Weiter kritisiert die Beschwerdeführerin, das Rechtshilfeersuchen komme einer sogenannten "fishing expedition" gleich. Das Bundesstrafgericht legte dazu unter anderem dar, dass die Behörden des ersuchenden Staats grundsätzlich über alle Transaktionen zu informieren seien, die über in die Angelegenheit verwickelte Konten getätigt worden seien, wenn das Rechtshilfeersuchen auf die Ermittlung des Wegs abziele, auf dem Geldmittel möglicherweise strafbarer Herkunft verschoben worden seien. Die betreffenden Ausführungen entsprechen der bundesgerichtlichen Rechtsprechung ( BGE 136 IV 82 E. 4; 128 II 407 E. 6.3.1; je mit Hinweisen). Rechtliche Grundsatzfragen stellen sich in dieser Hinsicht nicht.</w:t>
      </w:r>
    </w:p>
    <w:p>
      <w:r>
        <w:t>Dass in anderer Hinsicht von einem besonders bedeutenden Fall auszugehen wäre, macht die Beschwerdeführerin nicht geltend (vgl. Art. 42 Abs. 2 Satz 2 BGG ). Für das Bundesgericht besteht somit kein Anlass, sich mit der Sache zu befassen.</w:t>
      </w:r>
    </w:p>
    <w:p>
      <w:r>
        <w:rPr>
          <w:b/>
        </w:rPr>
        <w:t>E. 2</w:t>
      </w:r>
    </w:p>
    <w:p>
      <w:r>
        <w:t>Auf die Beschwerde ist nicht einzutreten.</w:t>
      </w:r>
    </w:p>
    <w:p>
      <w:r>
        <w:t>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