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1C_507/2019 vom 23. September 2019</w:t>
      </w:r>
    </w:p>
    <w:p>
      <w:r>
        <w:t>Bundesgericht, 2019-09-23, DE</w:t>
      </w:r>
    </w:p>
    <w:p>
      <w:r>
        <w:rPr>
          <w:b/>
        </w:rPr>
        <w:t xml:space="preserve">Quelle: </w:t>
      </w:r>
      <w:r>
        <w:t>https://mcp.opencaselaw.ch/entscheid/bger_1C_507_2019</w:t>
      </w:r>
    </w:p>
    <w:p>
      <w:r>
        <w:t>FR: TF 1C_507/2019 du 23 septembre 2019</w:t>
      </w:r>
    </w:p>
    <w:p>
      <w:r>
        <w:t>IT: TF 1C_507/2019 del 23 settembre 2019</w:t>
      </w:r>
    </w:p>
    <w:p>
      <w:pPr>
        <w:pStyle w:val="Heading2"/>
      </w:pPr>
      <w:r>
        <w:t>Erwägungen</w:t>
      </w:r>
    </w:p>
    <w:p>
      <w:r>
        <w:rPr>
          <w:b/>
        </w:rPr>
        <w:t>E. 1</w:t>
      </w:r>
    </w:p>
    <w:p>
      <w:r>
        <w:t>A.C.________ befindet sich in der Klinik für Forensische Psychiatrie in U.________ zwecks Vollzug einer stationären Massnahme nach Art. 59 StGB . Der Vater von A.C.________ erstattete am 8. Mai 2019 Strafanzeige gegen den behandelnden Arzt seiner Tochter wegen Körperverletzung. Dem Arzt wird vorgeworfen, A.C.________ ein Medikament verabreicht zu haben, was bei ihr eine Herzmuskelentzündung mit noch nicht abschätzbaren Folgen verursacht habe.</w:t>
      </w:r>
    </w:p>
    <w:p>
      <w:r>
        <w:rPr>
          <w:b/>
        </w:rPr>
        <w:t>E. 2</w:t>
      </w:r>
    </w:p>
    <w:p>
      <w:r>
        <w:t>Die Staatsanwaltschaft Winterthur/Unterland überwies mit Verfügung vom 19. Juni 2019 die Strafanzeige an das Obergericht des Kantons Zürich zum Entscheid über die Ermächtigung zur Durchführung einer Strafuntersuchung. Die III. Strafkammer des Obergerichts des Kantons Zürich erteilte mit Beschluss vom 26. August 2019 der Staatsanwaltschaft die Ermächtigung nicht. Zur Begründung führte sie zusammenfassend aus, dass keine Hinweise für ein Körperverletzungsdelikt vorliegen würden.</w:t>
      </w:r>
    </w:p>
    <w:p>
      <w:r>
        <w:rPr>
          <w:b/>
        </w:rPr>
        <w:t>E. 3</w:t>
      </w:r>
    </w:p>
    <w:p>
      <w:r>
        <w:t>A.C.________ führt mit Eingabe vom 20. September 2019 Beschwerde in öffentlich-rechtlichen Angelegenheiten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mit den Ausführungen der III. Strafkammer, welche eine Sorgfaltspflichtverletzung des behandelnden Arztes verneinten, nicht auseinander. Sie vermag nicht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