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1C_507/2011 vom 27. März 2012</w:t>
      </w:r>
    </w:p>
    <w:p>
      <w:r>
        <w:t>Bundesgericht, 2012-03-27, FR</w:t>
      </w:r>
    </w:p>
    <w:p>
      <w:r>
        <w:rPr>
          <w:b/>
        </w:rPr>
        <w:t xml:space="preserve">Quelle: </w:t>
      </w:r>
      <w:r>
        <w:t>https://mcp.opencaselaw.ch/entscheid/bger_1C_507_2011</w:t>
      </w:r>
    </w:p>
    <w:p>
      <w:r>
        <w:t>FR: TF 1C_507/2011 du 27 mars 2012</w:t>
      </w:r>
    </w:p>
    <w:p>
      <w:r>
        <w:t>IT: TF 1C_507/2011 del 27 marzo 2012</w:t>
      </w:r>
    </w:p>
    <w:p>
      <w:pPr>
        <w:pStyle w:val="Heading2"/>
      </w:pPr>
      <w:r>
        <w:t>Erwägungen</w:t>
      </w:r>
    </w:p>
    <w:p>
      <w:r>
        <w:rPr>
          <w:b/>
        </w:rPr>
        <w:t>E. 1</w:t>
      </w:r>
    </w:p>
    <w:p>
      <w:r>
        <w:t>L'arrêt attaqué émane du TAF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Il ne fait pas de doute que le recourant est particulièrement atteint par la décision attaquée et qu'il possède la qualité pour recourir au sens de l' art. 89 al. 1 LTF . Pour le surplus, les conditions formelles de recevabilité sont remplies de sorte qu'il y a lieu d'entrer en matière.</w:t>
      </w:r>
    </w:p>
    <w:p>
      <w:r>
        <w:rPr>
          <w:b/>
        </w:rPr>
        <w:t>E. 2</w:t>
      </w:r>
    </w:p>
    <w:p>
      <w:r>
        <w:t>Le recourant sollicite son audition personnelle par le Tribunal fédéral. Si le droit d'être entendu ( art. 29 al. 2 Cst. ) comprend celui de s'exprimer avant le prononcé de la décision, il n'implique pas en revanche le droit de s'exprimer oralement devant l'autorité ( ATF 122 II 464 consid. 4c p. 469). En l'espèce, il n'y a pas lieu de faire droit à la demande du recourant tendant à une audition personnelle dans la mesure où celui-ci a eu l'occasion d'exposer l'ensemble de ses arguments dans son mémoire de recours.</w:t>
      </w:r>
    </w:p>
    <w:p>
      <w:r>
        <w:t>Le recourant requiert en outre la production par la commune du domicile de son ex-épouse d'une attestation confirmant le fait que celle-ci ne vit pas avec le père biologique de l'enfant né en 2005. Il n'y a pas lieu de donner suite à sa requête dès lors qu'aucun fait nouveau ni preuve nouvelle ne peut être présenté devant le Tribunal fédéral ( art. 99 al. 1 LTF ). De même, l'attestation d'immatriculation auprès de l'Université de Lausanne que le recourant entend produire constitue un moyen de preuve nouveau qui est irrecevable.</w:t>
      </w:r>
    </w:p>
    <w:p>
      <w:r>
        <w:rPr>
          <w:b/>
        </w:rPr>
        <w:t>E. 3</w:t>
      </w:r>
    </w:p>
    <w:p>
      <w:r>
        <w:t>Dans son écriture, le recourant se plaint d'une constatation manifestement inexacte et incomplète des faits.</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p. 62)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 p. 254 s.).</w:t>
      </w:r>
    </w:p>
    <w:p>
      <w:r>
        <w:rPr>
          <w:b/>
        </w:rPr>
        <w:t>E. 3.2</w:t>
      </w:r>
    </w:p>
    <w:p>
      <w:r>
        <w:t>Le recourant reproche tout d'abord au TAF d'avoir retenu à tort qu'il avait épousé une Suissesse de 7 ans son aînée. Il est exact que la différence d'âge entre les ex-époux s'élève à 6 années et demie et non pas à 7 ans, comme le retient l'arrêt attaqué. Le recourant ne démontre cependant pas en quoi une éventuelle modification de l'état de fait en ce sens serait susceptible d'influer sur le sort de la cause. Sa critique doit dès lors être écartée.</w:t>
      </w:r>
    </w:p>
    <w:p>
      <w:r>
        <w:t>Le recourant conteste également le fait que l'instance précédente a retenu qu'il disposait, en sa qualité d'étudiant, d'un statut précaire dont le renouvellement n'était aucunement assuré. Il se contente à cet égard de soutenir qu'il était certain d'obtenir le renouvellement de son permis B compte tenu de son statut d'étudiant. A supposer que ce statut lui eût assuré le renouvellement de son permis, comme il le soutient, cela ne suffirait pas encore à démontrer qu'il est insoutenable de considérer qu'un permis devant être renouvelé chaque année puisse être qualifié de précaire. L'appréciation du TAF sur ce point n'a rien d'arbitraire.</w:t>
      </w:r>
    </w:p>
    <w:p>
      <w:r>
        <w:rPr>
          <w:b/>
        </w:rPr>
        <w:t>E. 3.3</w:t>
      </w:r>
    </w:p>
    <w:p>
      <w:r>
        <w:t>Le grief de constatation inexacte des faits doit donc être rejeté dans la mesure de sa recevabilité.</w:t>
      </w:r>
    </w:p>
    <w:p>
      <w:r>
        <w:rPr>
          <w:b/>
        </w:rPr>
        <w:t>E. 4</w:t>
      </w:r>
    </w:p>
    <w:p>
      <w:r>
        <w:t>Le recourant conteste avoir obtenu la naturalisation par des déclarations mensongères et reproche au TAF d'avoir abusé de son pouvoir d'appréciation dans l'examen des éléments fondant le retrait de la naturalisation et d'avoir rendu une décision contraire au droit fédéral, en particulier à l'art. 41 de la loi fédérale du 29 septembre 1952 sur l'acquisition et la perte de la nationalité suisse (LN; RS 141).</w:t>
      </w:r>
    </w:p>
    <w:p>
      <w:r>
        <w:rPr>
          <w:b/>
        </w:rPr>
        <w:t>E. 4.1</w:t>
      </w:r>
    </w:p>
    <w:p>
      <w:r>
        <w:t>Conformément à l' art. 41 al. 1 LN dans sa teneur jusqu'au 1er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4.1.1</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1C_272/2009 du 8 septembre 2009 consid. 3.1).</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w:t>
      </w:r>
    </w:p>
    <w:p>
      <w:r>
        <w:rPr>
          <w:b/>
        </w:rPr>
        <w:t>E. 4.1.2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w:t>
      </w:r>
    </w:p>
    <w:p>
      <w:r>
        <w:t>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références).</w:t>
      </w:r>
    </w:p>
    <w:p>
      <w:r>
        <w:rPr>
          <w:b/>
        </w:rPr>
        <w:t>E. 4.2</w:t>
      </w:r>
    </w:p>
    <w:p>
      <w:r>
        <w:t>En l'espèce, l'arrêt attaqué retient que les époux ont signé la déclaration commune attestant de la stabilité de leur union le 18 mars 2007. La naturalisation a été accordée au recourant le 4 avril 2007. Les époux se sont séparés en février 2008 et ont déposé le 13 février 2008 une requête commune en divorce, avec accord complet et signature d'une convention sur les effets accessoires du divorce. Le divorce a été prononcé le 22 juillet 2008. Le TAF a estimé que ces éléments et leur enchaînement chronologique particulièrement rapide étaient de nature à fonder la présomption que la stabilité requise du mariage n'existait déjà plus au moment de la déclaration commune faite le 18 mars 2007 et, à tout le moins, lors du prononcé de la naturalisation facilitée le 4 avril 2007.</w:t>
      </w:r>
    </w:p>
    <w:p>
      <w:r>
        <w:t>Pour l'instance précédente, cette présomption était renforcée par le fait que l'ex-épouse du recourant avait, huit mois à peine après la célébration de leur mariage, conçu un enfant avec un tiers qui deviendra le colocataire du couple pendant plusieurs années dès le mois de décembre 2004. Le TAF a ajouté qu'il était étonnant que le recourant, qui avait introduit une procédure en désaveu de paternité un peu plus d'un mois après la naissance de l'enfant, ait renoncé à connaître l'identité du père biologique de l'enfant après le refus de son épouse de la lui indiquer. Selon cette autorité, il était en outre inconcevable que le recourant ait accepté de continuer à partager le domicile conjugal avec leur colocataire alors qu'il avait eu des doutes, lors de la procédure en désaveu de paternité initiée en février 2005 quant au fait que ce dernier fût le père de l'enfant né en 2005.</w:t>
      </w:r>
    </w:p>
    <w:p>
      <w:r>
        <w:t>Le recourant critique cette dernière appréciation du TAF qui ne tiendrait pas compte du fait que son ex-épouse ne lui aurait révélé l'identité du père biologique de l'enfant qu'en février 2008. Or, quelle que soit la date à laquelle l'intéressée lui a indiqué qui était le père de l'enfant, cela ne remet pas en cause le fait qu'en 2005 le recourant avait déjà eu certains doutes quant au lien de filiation entre l'enfant et leur colocataire, comme le retient précisément le TAF (cf. déterminations du recourant du 30 janvier 2009). Dans ces circonstances, l'appréciation en question de l'instance précédente n'apparaît pas critiquable. Au demeurant, la critique du recourant manque de pertinence puisqu'elle s'attaque à une considération que l'instance précédente a retenue, non pas pour établir la présomption, mais pour la renforcer.</w:t>
      </w:r>
    </w:p>
    <w:p>
      <w:r>
        <w:t>En l'occurrence, la présomption de fait n'est pas discutée par le recourant. Elle peut effectivement se fonder sur un enchaînement relativement rapide des événements, en particulier la séparation des époux et le dépôt de la requête commune de divorce avec accord complet intervenus environ 10 mois après l'octroi de la naturalisation (arrêt 1C_472/2011 du 22 décembre 2011 consid. 2.1.3; arrêt 1C_167/2011 du 14 juin 2011 consid. 3.2).</w:t>
      </w:r>
    </w:p>
    <w:p>
      <w:r>
        <w:t>Conformément à la jurisprudence précitée, il convient donc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4.3</w:t>
      </w:r>
    </w:p>
    <w:p>
      <w:r>
        <w:t>Pour expliquer une soudaine détérioration du lien conjugal, le recourant invoque, de manière appellatoire, l'aggravation de l'état de santé de son ex-épouse dès la fin de l'année 2007. Il ne critique pas l'appréciation du TAF qui a expliqué de manière convaincante qu'il n'était pas vraisemblable que les problèmes de santé de l'intéressée, quand bien même le traitement médical prodigué à cette dernière dès novembre 2007 avait provoqué un état de dépression, aient pu influencer leur vie de couple au point de les conduire au divorce, sans séparation préalable ni mesures protectrices de l'union conjugale. Avec le TAF, on peut relever que, si l'aggravation de la maladie de son ex-épouse a pu subitement précipiter la fin de la vie de couple, cet élément ne fait que mettre en lumière la superficialité des liens qui unissaient les ex-époux et, partant, l'inconsistance de la communauté conjugale vécue par ces derniers au moment de la signature de la déclaration commune en mars 2007.</w:t>
      </w:r>
    </w:p>
    <w:p>
      <w:r>
        <w:t>Le recourant se prévaut également du fait qu'il n'aurait appris qu'en février 2008 que leur ancien colocataire était le père biologique de l'enfant de son ex-épouse. Cet élément aurait fait resurgir une ancienne blessure et, en raison de ce sentiment de trahison, il n'aurait pas réussi à faire face à la dégradation subite de l'état de santé de son ex-épouse. Cependant, par cette assertion, il ne s'en prend pas aux considérations du TAF. Celui-ci a en effet relevé que ce motif de la rupture conjugale n'avait été invoqué qu'au stade du recours devant lui, sans qu'aucune explication plausible n'ait été donnée par le recourant sur les raisons d'une allégation tardive de ce fait; l'intéressé, qui était pourtant assisté d'un mandataire depuis le mois d'octobre 2008, ne pouvait ignorer l'importance d'un tel élément. Au demeurant, cette allégation est infirmée par ses précédentes déclarations selon lesquelles la séparation était uniquement due aux problèmes relationnels rencontrés avec son ex-épouse à la suite de l'aggravation de l'état de santé de celle-ci; le recourant a en particulier précisé ne pas avoir quitté son épouse à cause de l'enfant adultérin, mais bien parce que les problèmes de santé de celle-ci rendaient impossible la continuation de la vie commune (cf. déterminations du recourant des 30 janvier, 8 et 14 avril 2009). On ne saurait dans ces circonstances reprocher au TAF d'avoir écarté ce motif comme cause de la rupture.</w:t>
      </w:r>
    </w:p>
    <w:p>
      <w:r>
        <w:t>Le recourant entend également tirer argument du fait que la vie commune des époux était heureuse et qu'ils avaient des loisirs communs et des projets pour le futur. Ces allégués ne permettent toutefois pas d'affaiblir ladite présomption, puisqu'il n'est pas contesté que les époux se sont mariés dans le but premier de fonder une communauté conjugale (cf. arrêt 1C_469/2010 du 21 février 2011 consid. 4). Concernant en particulier son projet d'achat d'un terrain pour y ériger une maison, le recourant se contente de reprendre l'argumentation soumise à l'instance précédente. Il méconnaît que le TAF y a répondu de manière circonstanciée. En effet, celui-ci a expliqué pour quels motifs cet élément ne permettait pas de renverser la présomption établie. Il peut donc être renvoyé sur ce point aux considérants de l'arrêt attaqué (cf. consid. 6.2.2 de l'arrêt entrepris).</w:t>
      </w:r>
    </w:p>
    <w:p>
      <w:r>
        <w:rPr>
          <w:b/>
        </w:rPr>
        <w:t>E. 4.4</w:t>
      </w:r>
    </w:p>
    <w:p>
      <w:r>
        <w:t>En définitive, le recourant n'apporte aucun élément propre à démontrer la survenance d'un événement extraordinaire postérieur à la signature de la déclaration commune et susceptible d'expliquer une dégradation aussi rapide du lien conjugal. L'intéressé ne rend pas non plus vraisemblable qu'au moment de la signature de la déclaration commune, il n'avait pas conscience du fait que la communauté conjugale n'était plus orientée vers l'avenir. Les éléments qu'il a avancés ne suffisent pas à renverser la présomption établie. Il en découle que les conditions d'application de l' art. 41 LN sont réunies et que le TAF n'a pas abusé de son pouvoir d'appréciation en confirmant l'annulation de la naturalisation facilitée qui avait été octroyée au recourant.</w:t>
      </w:r>
    </w:p>
    <w:p>
      <w:r>
        <w:rPr>
          <w:b/>
        </w:rPr>
        <w:t>E. 5</w:t>
      </w:r>
    </w:p>
    <w:p>
      <w:r>
        <w:t>Il s'ensuit que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