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507/2010 vom 9. Juni 2011</w:t>
      </w:r>
    </w:p>
    <w:p>
      <w:r>
        <w:t>Bundesgericht, 2011-06-09, FR</w:t>
      </w:r>
    </w:p>
    <w:p>
      <w:r>
        <w:rPr>
          <w:b/>
        </w:rPr>
        <w:t xml:space="preserve">Quelle: </w:t>
      </w:r>
      <w:r>
        <w:t>https://mcp.opencaselaw.ch/entscheid/bger_1C_507_2010</w:t>
      </w:r>
    </w:p>
    <w:p>
      <w:r>
        <w:t>FR: TF 1C 507/2010 du 9 juin 2011</w:t>
      </w:r>
    </w:p>
    <w:p>
      <w:r>
        <w:t>IT: TF 1C 507/2010 del 9 giugno 2011</w:t>
      </w:r>
    </w:p>
    <w:p>
      <w:pPr>
        <w:pStyle w:val="Heading2"/>
      </w:pPr>
      <w:r>
        <w:t>Regeste</w:t>
      </w:r>
    </w:p>
    <w:p>
      <w:r>
        <w:t>initiative populaire cantonale, intervention de l'autorité durant la récolte de signatures | Droits politiques</w:t>
      </w:r>
    </w:p>
    <w:p>
      <w:pPr>
        <w:pStyle w:val="Heading2"/>
      </w:pPr>
      <w:r>
        <w:t>Erwägungen</w:t>
      </w:r>
    </w:p>
    <w:p>
      <w:r>
        <w:rPr>
          <w:b/>
        </w:rPr>
        <w:t>E. 1</w:t>
      </w:r>
    </w:p>
    <w:p>
      <w:r>
        <w:t>Le Tribunal fédéral examine d'office et librement la recevabilité des recours qui lui sont soumis.</w:t>
      </w:r>
    </w:p>
    <w:p>
      <w:r>
        <w:rPr>
          <w:b/>
        </w:rPr>
        <w:t>E. 1.1</w:t>
      </w:r>
    </w:p>
    <w:p>
      <w:r>
        <w:t>Le Conseil d'Etat forme un recours de droit public fondé sur l' art. 82 let. a LTF . A juste titre, il ne se fonde pas sur l' art. 82 let . c LTF (recours pour violation des droits politiques), car l'Etat n'est pas en tant que tel titulaire des droits politiques, et n'aurait donc pas qualité pour agir au regard de l' art. 89 al. 3 LTF . Seul est dès lors envisageable le recours ordinaire pour violation des garanties constitutionnelles ( ATF 136 I 404 consid. 1.1.2 p. 407).</w:t>
      </w:r>
    </w:p>
    <w:p>
      <w:r>
        <w:rPr>
          <w:b/>
        </w:rPr>
        <w:t>E. 1.2</w:t>
      </w:r>
    </w:p>
    <w:p>
      <w:r>
        <w:t>Le Conseil d'Etat entend fonder sa qualité pour agir sur l' art. 89 al. 1 LTF . Il estime que l'arrêt attaqué empêcherait le service compétent d'intervenir pour exiger le respect des prescriptions légales en matière de récolte de signatures, de sorte que l'Etat se verrait entravé dans l'exercice de la puissance publique.</w:t>
      </w:r>
    </w:p>
    <w:p>
      <w:r>
        <w:rPr>
          <w:b/>
        </w:rPr>
        <w:t>E. 1.2.1</w:t>
      </w:r>
    </w:p>
    <w:p>
      <w:r>
        <w:t>Selon la disposition spécifique de l' art. 89 al. 2 let . c, les collectivités publiques ont qualité pour agir lorsqu'elles invoquent la violation de garanties qui leur sont reconnues par la constitution cantonale ou fédérale. Cette disposition ouvre notamment aux communes la voie du recours pour violation de leur autonomie ( ATF 135 I 302 consid. 1.1 p. 304), mais ne permet pas à un canton de recourir, comme en l'espèce, contre une décision de sa propre juridiction administrative qui le désavouerait ( ATF 133 II 400 consid. 2.4.1 p. 405).</w:t>
      </w:r>
    </w:p>
    <w:p>
      <w:r>
        <w:rPr>
          <w:b/>
        </w:rPr>
        <w:t>E. 1.2.2</w:t>
      </w:r>
    </w:p>
    <w:p>
      <w:r>
        <w:t>Selon la disposition générale de l' art. 89 al. 1 LTF , a qualité pour former un recours en matière de droit public quiconque a pris part à la procédure devant l'autorité précédente (let. a), est particulièrement atteinte par l'acte attaqué (let. b) et a un intérêt digne de protection à son annulation ou à sa modification (let. c). Cette disposition concerne en premier lieu le droit de recours des particuliers, mais une corporation de droit public peut également l'invoquer lorsqu'elle est atteinte par l'acte attaqué de la même manière qu'un particulier, ou lorsqu'elle est touchée dans ses prérogatives de puissance publique ( ATF 136 I 265 consid. 1.4; 136 II 383 consid. 2.3 e 2.4; 135 I 43 consid. 1.3; 135 II 12 consid.1.2.1).</w:t>
      </w:r>
    </w:p>
    <w:p>
      <w:r>
        <w:rPr>
          <w:b/>
        </w:rPr>
        <w:t>E. 1.2.3</w:t>
      </w:r>
    </w:p>
    <w:p>
      <w:r>
        <w:t>En l'occurrence, le SVE est intervenu en tant que service de la Chancellerie d'Etat, autorité chargée de l'application de la loi cantonale sur l'exercice des droits politiques (LEDP, RS/GE A 5 05). L'arrêt attaqué dénie à l'administration un tel droit d'intervention, et porte ainsi atteinte à l'exercice d'une compétence relevant de la puissance publique ( ATF 135 II 12 consid. 1.2 p 15). Conformément à la jurisprudence, le canton concerné agit par l'intermédiaire de son Conseil d'Etat (même arrêt, consid. 1.2.3), représenté en l'occurrence par la Chancelière d'Etat.</w:t>
      </w:r>
    </w:p>
    <w:p>
      <w:r>
        <w:rPr>
          <w:b/>
        </w:rPr>
        <w:t>E. 1.3</w:t>
      </w:r>
    </w:p>
    <w:p>
      <w:r>
        <w:t>Il y a donc lieu d'entrer en matière, le recours étant formé dans le délai utile ( art. 100 al. 1 LTF ) contre un arrêt final ( art. 90 LTF ) de l'autorité de dernière instance cantonale.</w:t>
      </w:r>
    </w:p>
    <w:p>
      <w:r>
        <w:rPr>
          <w:b/>
        </w:rPr>
        <w:t>E. 1.4</w:t>
      </w:r>
    </w:p>
    <w:p>
      <w:r>
        <w:t>Bien que les parties n'évoquent pas cette question, l'initiative "Genève-Plage pour tous" n'a finalement pas abouti, de nombreuses signatures ayant été invalidées pour d'autres motifs. Cela a fait l'objet d'une décision formelle, de sorte que le recours, qui porte sur le droit d'intervention du SVE en cours de récolte, pourrait apparaître sans objet. Toutefois, compte tenu de la nature de l'intervention litigieuse du SEV et de la durée du délai de récolte des signatures, un contrôle judiciaire en temps utile ne serait pratiquement pas possible, de sorte qu'il y a lieu, sous cet angle également, d'entrer en matière.</w:t>
      </w:r>
    </w:p>
    <w:p>
      <w:r>
        <w:rPr>
          <w:b/>
        </w:rPr>
        <w:t>E. 2</w:t>
      </w:r>
    </w:p>
    <w:p>
      <w:r>
        <w:t>Le service des votations et élections certifie que les listes ont été déposées dans les délais légaux.</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136 I 1 consid. 2.4 p. 5 et la jurisprudence citée), ce qu'il appartient au recourant de démontrer en vertu de l' art. 106 al. 2 LTF ( ATF 134 I 263 consid. 3.1 p. 265; 133 I 149 consid. 3.1 p. 153 et la jurisprudence citée).</w:t>
      </w:r>
    </w:p>
    <w:p>
      <w:r>
        <w:rPr>
          <w:b/>
        </w:rPr>
        <w:t>E. 2.2</w:t>
      </w:r>
    </w:p>
    <w:p>
      <w:r>
        <w:t>Les dispositions invoquées par le Conseil d'Etat prévoient d'une part qu'est punissable celui qui procède ou fait procéder, moyennant rétribution, à la quête de signatures en matière de référendum ou d'initiative et, d'autre part, que le contrôle des signatures a lieu après le dépôt des listes. Il en ressort également clairement que le SVE constitue l'autorité de surveillance en matière de droits politiques (art. 1 REDP). Ainsi s'il doit, à l'issue de la récolte de signatures, sanctionner les procédés illicites, à plus forte raison peut-il le faire en cours de récolte: la situation s'en trouve clarifiée immédiatement, et cela permet aux initiants de poursuivre leur démarche de manière régulière. Cela peut en outre leur éviter les sanctions pénales prévues à l' art. 183 LDP . Une telle intervention a donc lieu dans le cadre des attributions générales du SVE, qui est de garantir la liberté de vote et la formation de la volonté des citoyens. Elle est en outre à l'avantage des initiants. Comme le relève le Conseil d'Etat, l'autorité pourrait au demeurant se voir reprocher d'agir contrairement à la bonne foi en renonçant à intervenir immédiatement et en sanctionnant après coup un procédé illicite reconnaissable d'emblée. L'arrêt attaqué, fondé sur une lecture purement littérale de la réglementation cantonale, perd de vue l'esprit et le but de cette dernière et apparaît par conséquent arbitraire, dans ses motifs comme dans son résultat.</w:t>
      </w:r>
    </w:p>
    <w:p>
      <w:r>
        <w:rPr>
          <w:b/>
        </w:rPr>
        <w:t>E. 2.3</w:t>
      </w:r>
    </w:p>
    <w:p>
      <w:r>
        <w:t>Une décision administrative est nulle lorsqu'elle est entachée d'un vice grave et manifeste (MOOR/POLTIER, Droit administratif, vol. II, Berne 2011 p. 366 ss). Tel peut être le cas lorsque l'autorité qui rend la décision n'a pas de compétence pour ce faire, sauf si elle dispose de compétences générales dans le domaine en cause ou si la reconnaissance de la nullité apparaît incompatible avec la sécurité du droit ( ATF 132 II 21 consid. 3.1 p. 27 et les arrêts cités). Comme cela est relevé ci-dessus, l'autorité peut intervenir en vertu de la compétence générale dont elle dispose, même en l'absence d'une base légale expresse, lorsqu'il s'agit de garantir la liberté de vote et de prévenir les procédés illicites dans ce domaine. La reconnaissance d'un cas de nullité est donc elle aussi constitutive d'arbitraire.</w:t>
      </w:r>
    </w:p>
    <w:p>
      <w:r>
        <w:rPr>
          <w:b/>
        </w:rPr>
        <w:t>E. 3</w:t>
      </w:r>
    </w:p>
    <w:p>
      <w:r>
        <w:t>Le recours doit par conséquent être admis et l'arrêt attaqué annulé, sans qu'il y ait lieu de se prononcer sur le fond. La cause doit être renvoyée à la cour cantonale (actuellement la Chambre administrative de la Cour de justice), à qui il appartiendra de statuer à nouveau. Elle devra s'interroger sur l'existence d'un intérêt actuel au recours, puis sur sa recevabilité et, le cas échéant, sur les griefs soulevés au fond par les intimés. Conformément à l' art. 66 al. 1 LTF , les frais judiciaires sont mis à la charge solidaire des intimés.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