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506/2022 vom 15. November 2022</w:t>
      </w:r>
    </w:p>
    <w:p>
      <w:r>
        <w:t>Bundesgericht, 2022-11-15, DE</w:t>
      </w:r>
    </w:p>
    <w:p>
      <w:r>
        <w:rPr>
          <w:b/>
        </w:rPr>
        <w:t xml:space="preserve">Quelle: </w:t>
      </w:r>
      <w:r>
        <w:t>https://mcp.opencaselaw.ch/entscheid/bger_1C_506_2022</w:t>
      </w:r>
    </w:p>
    <w:p>
      <w:r>
        <w:t>FR: TF 1C 506/2022 du 15 novembre 2022</w:t>
      </w:r>
    </w:p>
    <w:p>
      <w:r>
        <w:t>IT: TF 1C 506/2022 del 15 novembre 2022</w:t>
      </w:r>
    </w:p>
    <w:p>
      <w:pPr>
        <w:pStyle w:val="Heading2"/>
      </w:pPr>
      <w:r>
        <w:t>Regeste</w:t>
      </w:r>
    </w:p>
    <w:p>
      <w:r>
        <w:t>Baubewilligung | Raumplanung und öffentliches Baurecht</w:t>
      </w:r>
    </w:p>
    <w:p>
      <w:pPr>
        <w:pStyle w:val="Heading2"/>
      </w:pPr>
      <w:r>
        <w:t>Erwägungen</w:t>
      </w:r>
    </w:p>
    <w:p>
      <w:r>
        <w:rPr>
          <w:b/>
        </w:rPr>
        <w:t>E. 1</w:t>
      </w:r>
    </w:p>
    <w:p>
      <w:r>
        <w:t>Am 22. April 2021 hat die Baukommission Matzendorf C.B.________ und B.B.________ die Baubewilligung für die Erstellung von zwei Einfamilienhäusern auf dem Grundstück GB Matzendorf Nr. 1445 erteilt und die Einsprache von A.________ abgewiesen. Die von A.________ gegen die Baubewilligung erhobenen kantonalen Rechtsmittel blieben erfolglos. Zuletzt hat das Verwaltungsgericht des Kantons Solothurn am 22. August 2022 seine Beschwerde abgewiesen. Es hat erwogen, die von A.________ einzig beanstandete strassenmässige Erschliessung über die Kantonsstrasse Neumatt entspreche dem rechtsgültigen Erschliessungsplan "Strassen- und Baulinienplan Nord". Das Amt für Verkehr und Tiefbau habe zudem nachvollziehbar und umfassend dargetan, dass und weshalb die technischen Anforderungen gemäss den VSS-Normen an die betroffene Zufahrt erfüllt seien. Mit Eingabe vom 22. September 2022 erhebt A.________ Beschwerde gegen dieses Urteil des Verwaltungsgerichts mit dem sinngemässen Antrag, es aufzuheben.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setzt sich mit dem angefochtenen Entscheid nicht sachgerecht auseinander, sondern wiederholt im Wesentlichen bloss, die Zufahrt zur Bauparzelle stelle ein Sicherheitsrisiko dar, wie auch die bereits vor Jahren bewilligte Ein- und Ausfahrt zur Neumatt 2. Es sei bedenklich, dass Sicherheitsaspekten keine Bedeutung eingeräumt worden sei und er werde mit Vergnügen als Nebenkläger gegen die Baukommission Matzendorf auftreten, sobald es zu einem Unfall komme. Solche Ausführungen sind nicht geeignet, den angefochtenen Entscheid bundesrechtswidrig erscheinen zu lassen. Auf die Beschwerde ist wegen Verletzung der gesetzlichen Begründungspflicht im vereinfachten Verfahren nicht einzutreten, wobei auf die Erhebung von Kosten ausnahmsweise abgesehen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