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1C_506/2021 vom 20. Oktober 2021</w:t>
      </w:r>
    </w:p>
    <w:p>
      <w:r>
        <w:t>Bundesgericht, 2021-10-20, IT</w:t>
      </w:r>
    </w:p>
    <w:p>
      <w:r>
        <w:rPr>
          <w:b/>
        </w:rPr>
        <w:t xml:space="preserve">Quelle: </w:t>
      </w:r>
      <w:r>
        <w:t>https://mcp.opencaselaw.ch/entscheid/bger_1C_506_2021</w:t>
      </w:r>
    </w:p>
    <w:p>
      <w:r>
        <w:t>FR: TF 1C_506/2021 du 20 octobre 2021</w:t>
      </w:r>
    </w:p>
    <w:p>
      <w:r>
        <w:t>IT: TF 1C_506/2021 del 20 ottobre 2021</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trasmissione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La CRP ha negato la legittimazione a insorgere alla ricorrente nella misura in cui contesta la trasmissione della segnalazione MROS del 13 novembre 2020, che menziona soltanto l'esistenza di una relazione bancaria intestata a F.________ SA, ma non contempla alcuna documentazione bancaria, e quella dell'11 agosto 2020, la quale non indica né conti né operazioni concernenti relazioni bancarie intestate alla ricorrente. Il rilievo di quest'ultima al fatto che vi sarebbe menzionato l'imputato D.________, suo amministratore unico, è ininfluente. La ricorrente non dimostra (cfr. art. 42 LTF ) perché su questo punto la decisione impugnata si scosterebbe dalla prassi (cfr. DTF 124 II 180 consid. 2b e c; ROBERT ZIMMERMANN, La coopération judiciaire internationale en matière pénale, 5a ed. 2019, n. 528 pag. 562 seg.).</w:t>
      </w:r>
    </w:p>
    <w:p>
      <w:r>
        <w:rPr>
          <w:b/>
        </w:rPr>
        <w:t>E. 2.2</w:t>
      </w:r>
    </w:p>
    <w:p>
      <w:r>
        <w:t>Riguardo al caso particolarmente importante adduce una violazione di elementari principi procedurali, segnatamente una violazione del diritto d'essere sentito ( art. 29 cpv. 2 Cost. e 80b cpv.1 AIMP); perché il MP non le avrebbe dato la possibilità di verificare la metodologia di estrapolazione dei dati informatici essa non avrebbe potuto esaminare la presenza di eventuale documentazione non pertinente per l'inchiesta estera. Al riguardo accenna all' art. 141 CPP , relativo all'utilizzabilità delle prove acquisite illegalmente, prove che pertanto potrebbero anche non essere considerate valide secondo il diritto svizzero. Rimprovera alla CRP di non essersi compiutamente espressa sulle criticità, o quantomeno sugli interrogativi mossi alla metodologia utilizzata dagli esperti informatici rilevati in un rapporto peritale di parte fatto allestire da essa. Si diffonde poi sulla pretesa violazione dei principi di proporzionalità e dell'utilità potenziale, asserendo che si sarebbe in presenza di un'inammissibile ricerca indiscriminata di prove.</w:t>
      </w:r>
    </w:p>
    <w:p>
      <w:r>
        <w:t>Quest'ultima critica chiaramente non regge, visto che riguardo all'utilità potenziale dei files litigiosi la CRP non si è scostata dalla prassi costante. Gli stessi si riferiscono al citato amministratore unico della ricorrente, indagato nel procedimento penale estero (vedi sentenza 1C_505/2021 nei suoi confronti decisa in data odierna). La stessa conclusione vale per la censurata trasmissione della documentazione cartacea inerente in particolare a un'altra società. Non spetta in effetti al giudice svizzero dell'assistenza esaminare compiutamente ogni singolo file contenente il nome della ricorrente e dell'imputato in relazione a una connessione "concreta" con il procedimento estero; la valutazione definitiva del materiale probatorio spetta infatti al giudice estero del merito che, contrariamente a quello svizzero dell'assistenza, dispone di tutte le prove raccolte in Italia e all'estero.</w:t>
      </w:r>
    </w:p>
    <w:p>
      <w:r>
        <w:rPr>
          <w:b/>
        </w:rPr>
        <w:t>E. 2.3</w:t>
      </w:r>
    </w:p>
    <w:p>
      <w:r>
        <w:t>L'indagato D.________, quale amministratore unico della ricorrente, aveva chiesto l'apposizione di sigilli su parte della documentazione cartacea e informatica, i cui dati sono poi stati estrapolati dal Gruppo informatica forense del Centro sistemi informatici dell'amministrazione cantonale (CIS); il Giudice dei provvedimenti coercitivi ticinese, nell'ambito di un'udienza alla presenza delle parti, ha in seguito proceduto al dissigillamento sulla base delle parole chiave e un criterio temporale indicati nella rogatoria, concordati e accettati dalla ricorrente. La cernita della documentazione cartacea è stata effettuata seduta stante, mentre la selezione dei dati informatici è stata demandata alla polizia giudiziaria. In applicazione del diritto di essere sentito, alla ricorrente è stata concessa la facoltà di esaminare i files estrapolati; la ricorrente ha poi rilevato che al suo dire determinati files sarebbero estranei all'oggetto della rogatoria.</w:t>
      </w:r>
    </w:p>
    <w:p>
      <w:r>
        <w:t>La ricorrente fa valere che sarebbe stata impedita di stabilire con certezza la completa correttezza della modalità e della metodologia dell'estrapolazione dei dati informatici secondo lo standard internazionale ISO/IEC27037, richiamando al riguardo alcune criticità e punti interrogativi sollevati in una perizia di parte ch'essa e l'indagato hanno fatto allestire. Ciò perché una corretta analisi informatica forense avrebbe dovuto garantire la "riproducibilità" della prova mediante un clone. Come accertato nella decisione impugnata, la cernita dei dati informatici è avvenuta per il tramite di una ricerca mediante parole chiave corrispondenti ai nomi indicati nella rogatoria e per un periodo temporale limitato, modo di procedere concordato con la ricorrente e da essa accettato. Certo, come rilevato nella sentenza impugnata, l'analisi completa, senza filtri, è stata cancellata e non è quindi più disponibile per ulteriori verifiche: anche questa modalità era tuttavia stata precedentemente convenuta con la ricorrente dinanzi al Giudice dei provvedimenti coercitivi ticinese nell'ambito della procedura di dissigillamento. La circostanza che al riguardo la ricorrente avrebbe interpretato in un altro modo la portata di detta "cancellazione", ossia non nel senso della cancellazione della copia di partenza dei dati da estrapolare, non fa assumere alla causa gli estremi di un caso particolarmente importante. Non si tratta in effetti di un caso di principio ma, in sostanza, della contestazione dell'utilità potenziale di determinati documenti. Del resto la critica d'averle impedito di esperire una contro-verifica sulle modalità dell'estrapolazione dei files a causa della citata cancellazione, non implica di per sé una carenza dell'utilità potenziale degli stessi, riferibili a un imputato. Per di più, come ritenuto nella decisione della CRP, la valutazione di queste prove, compresa la questione di sapere se e in che misura semmai non sarebbe stato compiutamente rispettato lo standard ISO/IEC27037, spetterà, conformemente alla prassi, al giudice estero del merito, visto che al dire della ricorrente tale standard è valido anche in Italia. Giova rilevare infatti che la nozione di gravi lacune nel procedimento, svizzero ( DTF 145 IV 99 consid. 1.3) o all'estero dev'essere interpretata in maniera restrittiva ( DTF 133 IV 131 consid. 3). I dati litigiosi oggetto della criticata decisione di trasmissione sono stati inoltre messi a disposizione della ricorrente per oltre un mese e mezzo prima della decisione di chiusura, motivo per cui il suo diritto d'essere sentita non è stato disatteso. La cernita ha avuto quindi luogo e la ricorrente ha potuto esprimersi al riguardo: viste le particolarità della fattispecie, le pretese anomalie non impongono un intervento del Tribunale federale. La ricorrente disattende infatti che non spetta al giudice svizzero dell'assistenza procedere a una valutazione completa e in contraddittorio dei mezzi di prova, la questione di sapere quali prove siano necessarie e utili compete di massima all'autorità richiedente, ciò che vale anche per i documenti cartacei dei quali è ordinata la trasmissione.</w:t>
      </w:r>
    </w:p>
    <w:p>
      <w:r>
        <w:rPr>
          <w:b/>
        </w:rPr>
        <w:t>E. 2.4</w:t>
      </w:r>
    </w:p>
    <w:p>
      <w:r>
        <w:t>Infine, la ricorrente non è legittimata a far valere l'asserita violazione del principio del ne bis in idem nei confronti di un terzo perché l'8 gennaio 2021 il MP avrebbe emanato un decreto di abbandono nell'ambito di un non meglio precisato procedimento aperto nei confronti dell'imputato D.________, suo amministratore unico, per conseguimento fraudolento di una falsa attestazione ( art. 253 CP ).</w:t>
      </w:r>
    </w:p>
    <w:p>
      <w:r>
        <w:rPr>
          <w:b/>
        </w:rPr>
        <w:t>E. 3</w:t>
      </w:r>
    </w:p>
    <w:p>
      <w:r>
        <w:t>Ne segue che il ricorso è inammissibile. Le spese seguono la soccombenza ( art. 66 cpv. 1 LTF ).</w:t>
      </w:r>
    </w:p>
    <w:p>
      <w:r>
        <w:t>L'emanazione della presente sentenza rende prive d'oggetto la domanda supercautelare e cautelare della ricorrente sulla concessione dell'effetto sospensivo, superflue visto ch'esso è dato per legge (art. 103 cpv. 2 lett. c LTF), nonché l'istanza di adozione di altre misure cautelari ai sensi dell' art. 104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